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A69" w:rsidRDefault="00825E26">
      <w:pPr>
        <w:rPr>
          <w:rFonts w:ascii="Arial" w:hAnsi="Arial" w:cs="Arial"/>
          <w:b/>
          <w:sz w:val="24"/>
          <w:szCs w:val="24"/>
        </w:rPr>
      </w:pPr>
      <w:r w:rsidRPr="00825E26">
        <w:rPr>
          <w:rFonts w:ascii="Arial" w:hAnsi="Arial" w:cs="Arial"/>
          <w:b/>
          <w:sz w:val="24"/>
          <w:szCs w:val="24"/>
        </w:rPr>
        <w:t xml:space="preserve">Métodos </w:t>
      </w:r>
    </w:p>
    <w:p w:rsidR="00FE338E" w:rsidRPr="00FE338E" w:rsidRDefault="00FE338E" w:rsidP="00FE338E">
      <w:pPr>
        <w:spacing w:line="360" w:lineRule="auto"/>
        <w:jc w:val="both"/>
        <w:rPr>
          <w:rFonts w:ascii="Arial" w:eastAsia="Calibri" w:hAnsi="Arial" w:cs="Arial"/>
          <w:bCs/>
          <w:sz w:val="24"/>
          <w:szCs w:val="24"/>
        </w:rPr>
      </w:pPr>
      <w:r w:rsidRPr="00FE338E">
        <w:rPr>
          <w:rFonts w:ascii="Arial" w:eastAsia="Calibri" w:hAnsi="Arial" w:cs="Arial"/>
          <w:bCs/>
          <w:sz w:val="24"/>
          <w:szCs w:val="24"/>
        </w:rPr>
        <w:t>Se realizó una investigación-desarrollo con diseño observacional analítico de caso- control.</w:t>
      </w:r>
    </w:p>
    <w:p w:rsidR="00FE338E" w:rsidRPr="00FE338E" w:rsidRDefault="00FE338E" w:rsidP="00FE338E">
      <w:pPr>
        <w:spacing w:line="360" w:lineRule="auto"/>
        <w:jc w:val="both"/>
        <w:rPr>
          <w:rFonts w:ascii="Arial" w:eastAsia="Calibri" w:hAnsi="Arial" w:cs="Arial"/>
          <w:bCs/>
          <w:sz w:val="24"/>
          <w:szCs w:val="24"/>
        </w:rPr>
      </w:pPr>
      <w:r w:rsidRPr="00FE338E">
        <w:rPr>
          <w:rFonts w:ascii="Arial" w:eastAsia="Calibri" w:hAnsi="Arial" w:cs="Arial"/>
          <w:b/>
          <w:bCs/>
          <w:sz w:val="24"/>
          <w:szCs w:val="24"/>
        </w:rPr>
        <w:t>Definición del caso</w:t>
      </w:r>
      <w:r w:rsidRPr="00FE338E">
        <w:rPr>
          <w:rFonts w:ascii="Arial" w:eastAsia="Calibri" w:hAnsi="Arial" w:cs="Arial"/>
          <w:bCs/>
          <w:sz w:val="24"/>
          <w:szCs w:val="24"/>
        </w:rPr>
        <w:t>: adulto mayor fallecido por causa directa de ECV de tipo ateroesclerótica: infarto agudo de miocardio (IMA)  o un accidente vascular encefálico de tipo isquémico o hemorrágico, que se les pueda recoger todas las variables del estudio, con residencia permanente en la comunidad en los últimos 5 años y con seguimiento estable por el médico de la familia en el último año.</w:t>
      </w:r>
    </w:p>
    <w:p w:rsidR="00FE338E" w:rsidRPr="00FE338E" w:rsidRDefault="00FE338E" w:rsidP="00FE338E">
      <w:pPr>
        <w:spacing w:line="360" w:lineRule="auto"/>
        <w:jc w:val="both"/>
        <w:rPr>
          <w:rFonts w:ascii="Arial" w:eastAsia="Calibri" w:hAnsi="Arial" w:cs="Arial"/>
          <w:bCs/>
          <w:sz w:val="24"/>
          <w:szCs w:val="24"/>
        </w:rPr>
      </w:pPr>
      <w:r w:rsidRPr="00FE338E">
        <w:rPr>
          <w:rFonts w:ascii="Arial" w:eastAsia="Calibri" w:hAnsi="Arial" w:cs="Arial"/>
          <w:b/>
          <w:bCs/>
          <w:sz w:val="24"/>
          <w:szCs w:val="24"/>
        </w:rPr>
        <w:t>Definición del control</w:t>
      </w:r>
      <w:r w:rsidRPr="00FE338E">
        <w:rPr>
          <w:rFonts w:ascii="Arial" w:eastAsia="Calibri" w:hAnsi="Arial" w:cs="Arial"/>
          <w:bCs/>
          <w:sz w:val="24"/>
          <w:szCs w:val="24"/>
        </w:rPr>
        <w:t>: adulto mayor vivo, con las mismas características de los casos.</w:t>
      </w:r>
    </w:p>
    <w:p w:rsidR="00FE338E" w:rsidRPr="00FE338E" w:rsidRDefault="00FE338E" w:rsidP="00FE338E">
      <w:pPr>
        <w:spacing w:line="360" w:lineRule="auto"/>
        <w:jc w:val="both"/>
        <w:rPr>
          <w:rFonts w:ascii="Arial" w:eastAsia="Calibri" w:hAnsi="Arial" w:cs="Arial"/>
          <w:bCs/>
          <w:sz w:val="24"/>
          <w:szCs w:val="24"/>
        </w:rPr>
      </w:pPr>
      <w:r w:rsidRPr="00FE338E">
        <w:rPr>
          <w:rFonts w:ascii="Arial" w:eastAsia="Calibri" w:hAnsi="Arial" w:cs="Arial"/>
          <w:bCs/>
          <w:sz w:val="24"/>
          <w:szCs w:val="24"/>
        </w:rPr>
        <w:t>2.2 Población y muestra</w:t>
      </w:r>
    </w:p>
    <w:p w:rsidR="00FE338E" w:rsidRPr="00FE338E" w:rsidRDefault="00FE338E" w:rsidP="00FE338E">
      <w:pPr>
        <w:spacing w:line="360" w:lineRule="auto"/>
        <w:jc w:val="both"/>
        <w:rPr>
          <w:rFonts w:ascii="Arial" w:eastAsia="Calibri" w:hAnsi="Arial" w:cs="Arial"/>
          <w:bCs/>
          <w:sz w:val="24"/>
          <w:szCs w:val="24"/>
        </w:rPr>
      </w:pPr>
      <w:r w:rsidRPr="00FE338E">
        <w:rPr>
          <w:rFonts w:ascii="Arial" w:eastAsia="Calibri" w:hAnsi="Arial" w:cs="Arial"/>
          <w:bCs/>
          <w:sz w:val="24"/>
          <w:szCs w:val="24"/>
        </w:rPr>
        <w:t xml:space="preserve">La población de estudio quedó constituida por 237 fallecidos (casos), y otro grupo de pacientes adultos mayores vivos con ECV (controles), cuya cifra ascendió a 711 (3 controles por cada uno de los casos), que pertenecían a la misma área de salud, seleccionándose a través de un muestreo aleatorio estratificado. </w:t>
      </w:r>
    </w:p>
    <w:p w:rsidR="00FE338E" w:rsidRPr="00FE338E" w:rsidRDefault="00FE338E" w:rsidP="00FE338E">
      <w:pPr>
        <w:spacing w:line="360" w:lineRule="auto"/>
        <w:jc w:val="both"/>
        <w:rPr>
          <w:rFonts w:ascii="Arial" w:eastAsia="Calibri" w:hAnsi="Arial" w:cs="Arial"/>
          <w:bCs/>
          <w:sz w:val="24"/>
          <w:szCs w:val="24"/>
        </w:rPr>
      </w:pPr>
      <w:r w:rsidRPr="00FE338E">
        <w:rPr>
          <w:rFonts w:ascii="Arial" w:eastAsia="Calibri" w:hAnsi="Arial" w:cs="Arial"/>
          <w:bCs/>
          <w:sz w:val="24"/>
          <w:szCs w:val="24"/>
        </w:rPr>
        <w:t xml:space="preserve">La estimación de tamaño muestra, se realizó utilizando la calculadora </w:t>
      </w:r>
      <w:proofErr w:type="spellStart"/>
      <w:r w:rsidRPr="00FE338E">
        <w:rPr>
          <w:rFonts w:ascii="Arial" w:eastAsia="Calibri" w:hAnsi="Arial" w:cs="Arial"/>
          <w:bCs/>
          <w:sz w:val="24"/>
          <w:szCs w:val="24"/>
        </w:rPr>
        <w:t>Granmo</w:t>
      </w:r>
      <w:proofErr w:type="spellEnd"/>
      <w:r w:rsidRPr="00FE338E">
        <w:rPr>
          <w:rFonts w:ascii="Arial" w:eastAsia="Calibri" w:hAnsi="Arial" w:cs="Arial"/>
          <w:bCs/>
          <w:sz w:val="24"/>
          <w:szCs w:val="24"/>
        </w:rPr>
        <w:t xml:space="preserve">, disponible para su ejecución online en varios idiomas (https:// </w:t>
      </w:r>
      <w:hyperlink r:id="rId6" w:history="1">
        <w:r w:rsidRPr="00FE338E">
          <w:rPr>
            <w:rStyle w:val="Hipervnculo"/>
            <w:rFonts w:ascii="Arial" w:eastAsia="Calibri" w:hAnsi="Arial" w:cs="Arial"/>
            <w:bCs/>
            <w:sz w:val="24"/>
            <w:szCs w:val="24"/>
          </w:rPr>
          <w:t>www.imim.cat/ofertadeserveis/software-public/granmo/</w:t>
        </w:r>
      </w:hyperlink>
      <w:r w:rsidRPr="00FE338E">
        <w:rPr>
          <w:rFonts w:ascii="Arial" w:eastAsia="Calibri" w:hAnsi="Arial" w:cs="Arial"/>
          <w:bCs/>
          <w:sz w:val="24"/>
          <w:szCs w:val="24"/>
        </w:rPr>
        <w:t xml:space="preserve">), previo conocimiento del valor aproximado del </w:t>
      </w:r>
      <w:proofErr w:type="spellStart"/>
      <w:r w:rsidRPr="00FE338E">
        <w:rPr>
          <w:rFonts w:ascii="Arial" w:eastAsia="Calibri" w:hAnsi="Arial" w:cs="Arial"/>
          <w:bCs/>
          <w:sz w:val="24"/>
          <w:szCs w:val="24"/>
        </w:rPr>
        <w:t>odds</w:t>
      </w:r>
      <w:proofErr w:type="spellEnd"/>
      <w:r w:rsidRPr="00FE338E">
        <w:rPr>
          <w:rFonts w:ascii="Arial" w:eastAsia="Calibri" w:hAnsi="Arial" w:cs="Arial"/>
          <w:bCs/>
          <w:sz w:val="24"/>
          <w:szCs w:val="24"/>
        </w:rPr>
        <w:t xml:space="preserve"> ratio que se deseaba estimar ,la frecuencia de la exposición entre los casos y entre los controles ,la seguridad con la que se desea trabajar (α), o riesgo de cometer un error de tipo I. Generalmente se trabaja con una seguridad del 95% (α = 0,05), el poder estadístico (1-β) que se quiere para el estudio, o riesgo de cometer un error de tipo II, es habitual tomar β = 0,2, es decir, un poder del 80%. </w:t>
      </w:r>
    </w:p>
    <w:p w:rsidR="00FE338E" w:rsidRPr="00FE338E" w:rsidRDefault="00FE338E" w:rsidP="00FE338E">
      <w:pPr>
        <w:spacing w:line="360" w:lineRule="auto"/>
        <w:jc w:val="both"/>
        <w:rPr>
          <w:rFonts w:ascii="Arial" w:eastAsia="Calibri" w:hAnsi="Arial" w:cs="Arial"/>
          <w:bCs/>
          <w:sz w:val="24"/>
          <w:szCs w:val="24"/>
          <w:vertAlign w:val="superscript"/>
        </w:rPr>
      </w:pPr>
      <w:r w:rsidRPr="00FE338E">
        <w:rPr>
          <w:rFonts w:ascii="Arial" w:eastAsia="Calibri" w:hAnsi="Arial" w:cs="Arial"/>
          <w:bCs/>
          <w:sz w:val="24"/>
          <w:szCs w:val="24"/>
        </w:rPr>
        <w:t xml:space="preserve">Independientemente de que la muestra calculada fue de 206 fallecidos, se decidió trabajar con la totalidad de fallecidos (237), al tener en cuenta las recomendaciones de Núñez et al., </w:t>
      </w:r>
      <w:r w:rsidRPr="00FE338E">
        <w:rPr>
          <w:rFonts w:ascii="Arial" w:eastAsia="Calibri" w:hAnsi="Arial" w:cs="Arial"/>
          <w:bCs/>
          <w:sz w:val="24"/>
          <w:szCs w:val="24"/>
          <w:vertAlign w:val="superscript"/>
        </w:rPr>
        <w:t>(89)</w:t>
      </w:r>
      <w:r w:rsidRPr="00FE338E">
        <w:rPr>
          <w:rFonts w:ascii="Arial" w:eastAsia="Calibri" w:hAnsi="Arial" w:cs="Arial"/>
          <w:bCs/>
          <w:sz w:val="24"/>
          <w:szCs w:val="24"/>
        </w:rPr>
        <w:t xml:space="preserve"> de incorporar la mayor cantidad de datos exactos de la variable dependiente. Se tuvo en cuenta la regla de 10 eventos de la </w:t>
      </w:r>
      <w:r w:rsidRPr="00FE338E">
        <w:rPr>
          <w:rFonts w:ascii="Arial" w:eastAsia="Calibri" w:hAnsi="Arial" w:cs="Arial"/>
          <w:bCs/>
          <w:sz w:val="24"/>
          <w:szCs w:val="24"/>
        </w:rPr>
        <w:lastRenderedPageBreak/>
        <w:t xml:space="preserve">variable dependiente (fallecidos) por cada variable independiente que entró a la regresión logística. </w:t>
      </w:r>
    </w:p>
    <w:p w:rsidR="007A6DDD" w:rsidRPr="007A6DDD" w:rsidRDefault="007A6DDD" w:rsidP="007A6DDD">
      <w:pPr>
        <w:spacing w:line="360" w:lineRule="auto"/>
        <w:jc w:val="both"/>
        <w:rPr>
          <w:rFonts w:ascii="Arial" w:eastAsia="Calibri" w:hAnsi="Arial" w:cs="Arial"/>
          <w:bCs/>
          <w:sz w:val="24"/>
          <w:szCs w:val="24"/>
        </w:rPr>
      </w:pPr>
      <w:r w:rsidRPr="007A6DDD">
        <w:rPr>
          <w:rFonts w:ascii="Arial" w:eastAsia="Calibri" w:hAnsi="Arial" w:cs="Arial"/>
          <w:bCs/>
          <w:sz w:val="24"/>
          <w:szCs w:val="24"/>
        </w:rPr>
        <w:t>En este estudio se evaluaron la validez de apariencia, de criterio y de constructo.</w:t>
      </w:r>
    </w:p>
    <w:p w:rsidR="007A6DDD" w:rsidRPr="007A6DDD" w:rsidRDefault="007A6DDD" w:rsidP="007A6DDD">
      <w:pPr>
        <w:spacing w:line="360" w:lineRule="auto"/>
        <w:jc w:val="both"/>
        <w:rPr>
          <w:rFonts w:ascii="Arial" w:eastAsia="Calibri" w:hAnsi="Arial" w:cs="Arial"/>
          <w:bCs/>
          <w:sz w:val="24"/>
          <w:szCs w:val="24"/>
        </w:rPr>
      </w:pPr>
      <w:r w:rsidRPr="007A6DDD">
        <w:rPr>
          <w:rFonts w:ascii="Arial" w:eastAsia="Calibri" w:hAnsi="Arial" w:cs="Arial"/>
          <w:bCs/>
          <w:sz w:val="24"/>
          <w:szCs w:val="24"/>
        </w:rPr>
        <w:t xml:space="preserve">Validez de apariencia (lógica). Hace referencia al grado en que las variables de una escala, miden de forma aparente o lógica el constructo que se pretende medir. Para evaluar esta propiedad se hizo a través del </w:t>
      </w:r>
      <w:r w:rsidRPr="007A6DDD">
        <w:rPr>
          <w:rFonts w:ascii="Arial" w:eastAsia="Calibri" w:hAnsi="Arial" w:cs="Arial"/>
          <w:bCs/>
          <w:sz w:val="24"/>
          <w:szCs w:val="24"/>
          <w:lang w:val="es-ES"/>
        </w:rPr>
        <w:t xml:space="preserve">método </w:t>
      </w:r>
      <w:proofErr w:type="spellStart"/>
      <w:r w:rsidRPr="007A6DDD">
        <w:rPr>
          <w:rFonts w:ascii="Arial" w:eastAsia="Calibri" w:hAnsi="Arial" w:cs="Arial"/>
          <w:bCs/>
          <w:i/>
          <w:sz w:val="24"/>
          <w:szCs w:val="24"/>
          <w:lang w:val="es-ES"/>
        </w:rPr>
        <w:t>Delphy</w:t>
      </w:r>
      <w:proofErr w:type="spellEnd"/>
      <w:r w:rsidRPr="007A6DDD">
        <w:rPr>
          <w:rFonts w:ascii="Arial" w:eastAsia="Calibri" w:hAnsi="Arial" w:cs="Arial"/>
          <w:bCs/>
          <w:sz w:val="24"/>
          <w:szCs w:val="24"/>
        </w:rPr>
        <w:t xml:space="preserve"> (consulta de expertos).</w:t>
      </w:r>
      <w:r w:rsidRPr="007A6DDD">
        <w:rPr>
          <w:rFonts w:ascii="Arial" w:eastAsia="Calibri" w:hAnsi="Arial" w:cs="Arial"/>
          <w:bCs/>
          <w:sz w:val="24"/>
          <w:szCs w:val="24"/>
          <w:vertAlign w:val="superscript"/>
          <w:lang w:val="es-ES"/>
        </w:rPr>
        <w:t xml:space="preserve"> 97</w:t>
      </w:r>
      <w:r w:rsidRPr="007A6DDD">
        <w:rPr>
          <w:rFonts w:ascii="Arial" w:eastAsia="Calibri" w:hAnsi="Arial" w:cs="Arial"/>
          <w:bCs/>
          <w:sz w:val="24"/>
          <w:szCs w:val="24"/>
        </w:rPr>
        <w:t xml:space="preserve"> </w:t>
      </w:r>
      <w:r w:rsidRPr="007A6DDD">
        <w:rPr>
          <w:rFonts w:ascii="Arial" w:eastAsia="Calibri" w:hAnsi="Arial" w:cs="Arial"/>
          <w:bCs/>
          <w:sz w:val="24"/>
          <w:szCs w:val="24"/>
          <w:lang w:val="es-ES"/>
        </w:rPr>
        <w:t xml:space="preserve">El </w:t>
      </w:r>
      <w:proofErr w:type="spellStart"/>
      <w:r w:rsidRPr="007A6DDD">
        <w:rPr>
          <w:rFonts w:ascii="Arial" w:eastAsia="Calibri" w:hAnsi="Arial" w:cs="Arial"/>
          <w:bCs/>
          <w:i/>
          <w:sz w:val="24"/>
          <w:szCs w:val="24"/>
          <w:lang w:val="es-ES"/>
        </w:rPr>
        <w:t>Delphy</w:t>
      </w:r>
      <w:proofErr w:type="spellEnd"/>
      <w:r w:rsidRPr="007A6DDD">
        <w:rPr>
          <w:rFonts w:ascii="Arial" w:eastAsia="Calibri" w:hAnsi="Arial" w:cs="Arial"/>
          <w:bCs/>
          <w:sz w:val="24"/>
          <w:szCs w:val="24"/>
          <w:lang w:val="es-ES"/>
        </w:rPr>
        <w:t xml:space="preserve"> es la utilización sistemática del juicio intuitivo de un grupo de expertos para obtener un consenso de opiniones informadas.</w:t>
      </w:r>
      <w:r w:rsidRPr="007A6DDD">
        <w:rPr>
          <w:rFonts w:ascii="Arial" w:eastAsia="Calibri" w:hAnsi="Arial" w:cs="Arial"/>
          <w:bCs/>
          <w:sz w:val="24"/>
          <w:szCs w:val="24"/>
          <w:vertAlign w:val="superscript"/>
          <w:lang w:val="es-ES"/>
        </w:rPr>
        <w:t xml:space="preserve"> </w:t>
      </w:r>
      <w:r w:rsidRPr="007A6DDD">
        <w:rPr>
          <w:rFonts w:ascii="Arial" w:eastAsia="Calibri" w:hAnsi="Arial" w:cs="Arial"/>
          <w:bCs/>
          <w:sz w:val="24"/>
          <w:szCs w:val="24"/>
          <w:lang w:val="es-ES_tradnl"/>
        </w:rPr>
        <w:t xml:space="preserve">Para la aplicación práctica del método se consideró metodológicamente dos cuestiones fundamentales: la elaboración del cuestionario </w:t>
      </w:r>
      <w:r w:rsidRPr="007A6DDD">
        <w:rPr>
          <w:rFonts w:ascii="Arial" w:eastAsia="Calibri" w:hAnsi="Arial" w:cs="Arial"/>
          <w:bCs/>
          <w:sz w:val="24"/>
          <w:szCs w:val="24"/>
          <w:lang w:val="es-ES"/>
        </w:rPr>
        <w:t>y la selección del grupo de expertos a encuestar.</w:t>
      </w:r>
      <w:r w:rsidRPr="007A6DDD">
        <w:rPr>
          <w:rFonts w:ascii="Arial" w:eastAsia="Calibri" w:hAnsi="Arial" w:cs="Arial"/>
          <w:bCs/>
          <w:sz w:val="24"/>
          <w:szCs w:val="24"/>
          <w:vertAlign w:val="superscript"/>
          <w:lang w:val="es-ES"/>
        </w:rPr>
        <w:t xml:space="preserve"> </w:t>
      </w:r>
    </w:p>
    <w:p w:rsidR="007A6DDD" w:rsidRPr="007A6DDD" w:rsidRDefault="007A6DDD" w:rsidP="007A6DDD">
      <w:pPr>
        <w:spacing w:line="360" w:lineRule="auto"/>
        <w:jc w:val="both"/>
        <w:rPr>
          <w:rFonts w:ascii="Arial" w:eastAsia="Calibri" w:hAnsi="Arial" w:cs="Arial"/>
          <w:bCs/>
          <w:sz w:val="24"/>
          <w:szCs w:val="24"/>
        </w:rPr>
      </w:pPr>
      <w:r w:rsidRPr="007A6DDD">
        <w:rPr>
          <w:rFonts w:ascii="Arial" w:eastAsia="Calibri" w:hAnsi="Arial" w:cs="Arial"/>
          <w:bCs/>
          <w:sz w:val="24"/>
          <w:szCs w:val="24"/>
        </w:rPr>
        <w:t>Se contemplaron inicialmente 12 posibles candidatos a expertos, los cuales debían reunir tres o más de los siguientes requisitos: 1) ser especialistas de segundo grado en medicina general integral, medicina interna, cardiología o geriatría o de primer grado con más de diez años de graduado, vinculados a la atención comunitaria, 2) doctor en ciencias médicas, 3) profesor titular o auxiliar, 4) tener categoría como investigador titular o auxiliar, 5) máster en longevidad satisfactoria.</w:t>
      </w:r>
    </w:p>
    <w:p w:rsidR="007A6DDD" w:rsidRPr="007A6DDD" w:rsidRDefault="007A6DDD" w:rsidP="007A6DDD">
      <w:pPr>
        <w:spacing w:line="360" w:lineRule="auto"/>
        <w:jc w:val="both"/>
        <w:rPr>
          <w:rFonts w:ascii="Arial" w:eastAsia="Calibri" w:hAnsi="Arial" w:cs="Arial"/>
          <w:bCs/>
          <w:sz w:val="24"/>
          <w:szCs w:val="24"/>
          <w:lang w:val="es-ES"/>
        </w:rPr>
      </w:pPr>
      <w:r w:rsidRPr="007A6DDD">
        <w:rPr>
          <w:rFonts w:ascii="Arial" w:eastAsia="Calibri" w:hAnsi="Arial" w:cs="Arial"/>
          <w:bCs/>
          <w:sz w:val="24"/>
          <w:szCs w:val="24"/>
        </w:rPr>
        <w:t xml:space="preserve">El método que se utilizó para determinar los expertos fue la obtención del coeficiente de competencia K, el cual </w:t>
      </w:r>
      <w:r w:rsidRPr="007A6DDD">
        <w:rPr>
          <w:rFonts w:ascii="Arial" w:eastAsia="Calibri" w:hAnsi="Arial" w:cs="Arial"/>
          <w:bCs/>
          <w:sz w:val="24"/>
          <w:szCs w:val="24"/>
          <w:lang w:val="es-ES"/>
        </w:rPr>
        <w:t>consiste en su nivel de calificación en una determinada esfera del conocimiento</w:t>
      </w:r>
      <w:r w:rsidRPr="007A6DDD">
        <w:rPr>
          <w:rFonts w:ascii="Arial" w:eastAsia="Calibri" w:hAnsi="Arial" w:cs="Arial"/>
          <w:bCs/>
          <w:sz w:val="24"/>
          <w:szCs w:val="24"/>
        </w:rPr>
        <w:t xml:space="preserve"> y se calculó por la siguiente fórmula</w:t>
      </w:r>
      <w:proofErr w:type="gramStart"/>
      <w:r w:rsidRPr="007A6DDD">
        <w:rPr>
          <w:rFonts w:ascii="Arial" w:eastAsia="Calibri" w:hAnsi="Arial" w:cs="Arial"/>
          <w:bCs/>
          <w:sz w:val="24"/>
          <w:szCs w:val="24"/>
        </w:rPr>
        <w:t xml:space="preserve">: </w:t>
      </w:r>
      <m:oMath>
        <m:r>
          <w:rPr>
            <w:rFonts w:ascii="Cambria Math" w:eastAsia="Calibri" w:hAnsi="Cambria Math" w:cs="Arial"/>
            <w:sz w:val="24"/>
            <w:szCs w:val="24"/>
          </w:rPr>
          <m:t>k=</m:t>
        </m:r>
        <m:f>
          <m:fPr>
            <m:ctrlPr>
              <w:rPr>
                <w:rFonts w:ascii="Cambria Math" w:eastAsia="Calibri" w:hAnsi="Cambria Math" w:cs="Arial"/>
                <w:bCs/>
                <w:i/>
                <w:sz w:val="24"/>
                <w:szCs w:val="24"/>
              </w:rPr>
            </m:ctrlPr>
          </m:fPr>
          <m:num>
            <m:r>
              <w:rPr>
                <w:rFonts w:ascii="Cambria Math" w:eastAsia="Calibri" w:hAnsi="Cambria Math" w:cs="Arial"/>
                <w:sz w:val="24"/>
                <w:szCs w:val="24"/>
              </w:rPr>
              <m:t>kc+ka</m:t>
            </m:r>
          </m:num>
          <m:den>
            <m:r>
              <w:rPr>
                <w:rFonts w:ascii="Cambria Math" w:eastAsia="Calibri" w:hAnsi="Cambria Math" w:cs="Arial"/>
                <w:sz w:val="24"/>
                <w:szCs w:val="24"/>
              </w:rPr>
              <m:t>2</m:t>
            </m:r>
          </m:den>
        </m:f>
      </m:oMath>
      <w:r w:rsidRPr="007A6DDD">
        <w:rPr>
          <w:rFonts w:ascii="Arial" w:eastAsia="Calibri" w:hAnsi="Arial" w:cs="Arial"/>
          <w:bCs/>
          <w:sz w:val="24"/>
          <w:szCs w:val="24"/>
        </w:rPr>
        <w:t>,</w:t>
      </w:r>
      <w:proofErr w:type="gramEnd"/>
      <w:r w:rsidRPr="007A6DDD">
        <w:rPr>
          <w:rFonts w:ascii="Arial" w:eastAsia="Calibri" w:hAnsi="Arial" w:cs="Arial"/>
          <w:bCs/>
          <w:sz w:val="24"/>
          <w:szCs w:val="24"/>
        </w:rPr>
        <w:t xml:space="preserve"> </w:t>
      </w:r>
      <w:r w:rsidRPr="007A6DDD">
        <w:rPr>
          <w:rFonts w:ascii="Arial" w:eastAsia="Calibri" w:hAnsi="Arial" w:cs="Arial"/>
          <w:bCs/>
          <w:sz w:val="24"/>
          <w:szCs w:val="24"/>
          <w:lang w:val="es-ES"/>
        </w:rPr>
        <w:t>donde</w:t>
      </w:r>
      <m:oMath>
        <m:r>
          <w:rPr>
            <w:rFonts w:ascii="Cambria Math" w:eastAsia="Calibri" w:hAnsi="Cambria Math" w:cs="Arial"/>
            <w:sz w:val="24"/>
            <w:szCs w:val="24"/>
            <w:lang w:val="es-ES"/>
          </w:rPr>
          <m:t xml:space="preserve"> kc </m:t>
        </m:r>
      </m:oMath>
      <w:r w:rsidRPr="007A6DDD">
        <w:rPr>
          <w:rFonts w:ascii="Arial" w:eastAsia="Calibri" w:hAnsi="Arial" w:cs="Arial"/>
          <w:bCs/>
          <w:sz w:val="24"/>
          <w:szCs w:val="24"/>
          <w:lang w:val="es-ES"/>
        </w:rPr>
        <w:t xml:space="preserve"> es el coeficiente de conocimiento o información que tiene el experto acerca del problema y el </w:t>
      </w:r>
      <m:oMath>
        <m:r>
          <w:rPr>
            <w:rFonts w:ascii="Cambria Math" w:eastAsia="Calibri" w:hAnsi="Cambria Math" w:cs="Arial"/>
            <w:sz w:val="24"/>
            <w:szCs w:val="24"/>
            <w:lang w:val="es-ES"/>
          </w:rPr>
          <m:t>ka</m:t>
        </m:r>
      </m:oMath>
      <w:r w:rsidRPr="007A6DDD">
        <w:rPr>
          <w:rFonts w:ascii="Arial" w:eastAsia="Calibri" w:hAnsi="Arial" w:cs="Arial"/>
          <w:bCs/>
          <w:sz w:val="24"/>
          <w:szCs w:val="24"/>
          <w:lang w:val="es-ES"/>
        </w:rPr>
        <w:t xml:space="preserve"> - es el coeficiente de argumentación o fundamentación de los crit</w:t>
      </w:r>
      <w:proofErr w:type="spellStart"/>
      <w:r w:rsidRPr="007A6DDD">
        <w:rPr>
          <w:rFonts w:ascii="Arial" w:eastAsia="Calibri" w:hAnsi="Arial" w:cs="Arial"/>
          <w:bCs/>
          <w:sz w:val="24"/>
          <w:szCs w:val="24"/>
          <w:lang w:val="es-ES"/>
        </w:rPr>
        <w:t>erios</w:t>
      </w:r>
      <w:proofErr w:type="spellEnd"/>
      <w:r w:rsidRPr="007A6DDD">
        <w:rPr>
          <w:rFonts w:ascii="Arial" w:eastAsia="Calibri" w:hAnsi="Arial" w:cs="Arial"/>
          <w:bCs/>
          <w:sz w:val="24"/>
          <w:szCs w:val="24"/>
          <w:lang w:val="es-ES"/>
        </w:rPr>
        <w:t xml:space="preserve"> </w:t>
      </w:r>
      <w:proofErr w:type="spellStart"/>
      <w:r w:rsidRPr="007A6DDD">
        <w:rPr>
          <w:rFonts w:ascii="Arial" w:eastAsia="Calibri" w:hAnsi="Arial" w:cs="Arial"/>
          <w:bCs/>
          <w:sz w:val="24"/>
          <w:szCs w:val="24"/>
          <w:lang w:val="es-ES"/>
        </w:rPr>
        <w:t>de el</w:t>
      </w:r>
      <w:proofErr w:type="spellEnd"/>
      <w:r w:rsidRPr="007A6DDD">
        <w:rPr>
          <w:rFonts w:ascii="Arial" w:eastAsia="Calibri" w:hAnsi="Arial" w:cs="Arial"/>
          <w:bCs/>
          <w:sz w:val="24"/>
          <w:szCs w:val="24"/>
          <w:lang w:val="es-ES"/>
        </w:rPr>
        <w:t xml:space="preserve"> experto.</w:t>
      </w:r>
    </w:p>
    <w:p w:rsidR="007A6DDD" w:rsidRPr="007A6DDD" w:rsidRDefault="007A6DDD" w:rsidP="007A6DDD">
      <w:pPr>
        <w:spacing w:line="360" w:lineRule="auto"/>
        <w:jc w:val="both"/>
        <w:rPr>
          <w:rFonts w:ascii="Arial" w:eastAsia="Calibri" w:hAnsi="Arial" w:cs="Arial"/>
          <w:bCs/>
          <w:sz w:val="24"/>
          <w:szCs w:val="24"/>
        </w:rPr>
      </w:pPr>
      <w:r w:rsidRPr="007A6DDD">
        <w:rPr>
          <w:rFonts w:ascii="Arial" w:eastAsia="Calibri" w:hAnsi="Arial" w:cs="Arial"/>
          <w:bCs/>
          <w:sz w:val="24"/>
          <w:szCs w:val="24"/>
        </w:rPr>
        <w:t xml:space="preserve">Para ello se elaboró una encuesta en la cual se le solicitó la autoevaluación del nivel de conocimiento acerca de la estratificación de riesgo de muerte por ECV en adultos mayores, además de completar una tabla patrón que se le aplicó a los </w:t>
      </w:r>
      <w:r w:rsidRPr="007A6DDD">
        <w:rPr>
          <w:rFonts w:ascii="Arial" w:eastAsia="Calibri" w:hAnsi="Arial" w:cs="Arial"/>
          <w:bCs/>
          <w:sz w:val="24"/>
          <w:szCs w:val="24"/>
        </w:rPr>
        <w:lastRenderedPageBreak/>
        <w:t xml:space="preserve">candidatos a expertos donde estos reflejaron el grado de influencia de los argumentos mediante los cuales han asimilado sus conocimientos. (Anexo 7) </w:t>
      </w:r>
    </w:p>
    <w:p w:rsidR="007A6DDD" w:rsidRPr="007A6DDD" w:rsidRDefault="007A6DDD" w:rsidP="007A6DDD">
      <w:pPr>
        <w:spacing w:line="360" w:lineRule="auto"/>
        <w:jc w:val="both"/>
        <w:rPr>
          <w:rFonts w:ascii="Arial" w:eastAsia="Calibri" w:hAnsi="Arial" w:cs="Arial"/>
          <w:bCs/>
          <w:sz w:val="24"/>
          <w:szCs w:val="24"/>
        </w:rPr>
      </w:pPr>
      <w:r w:rsidRPr="007A6DDD">
        <w:rPr>
          <w:rFonts w:ascii="Arial" w:eastAsia="Calibri" w:hAnsi="Arial" w:cs="Arial"/>
          <w:bCs/>
          <w:sz w:val="24"/>
          <w:szCs w:val="24"/>
        </w:rPr>
        <w:t xml:space="preserve">El </w:t>
      </w:r>
      <m:oMath>
        <m:r>
          <w:rPr>
            <w:rFonts w:ascii="Cambria Math" w:eastAsia="Calibri" w:hAnsi="Cambria Math" w:cs="Arial"/>
            <w:sz w:val="24"/>
            <w:szCs w:val="24"/>
            <w:lang w:val="es-ES"/>
          </w:rPr>
          <m:t>kc</m:t>
        </m:r>
      </m:oMath>
      <w:r w:rsidRPr="007A6DDD">
        <w:rPr>
          <w:rFonts w:ascii="Arial" w:eastAsia="Calibri" w:hAnsi="Arial" w:cs="Arial"/>
          <w:bCs/>
          <w:sz w:val="24"/>
          <w:szCs w:val="24"/>
        </w:rPr>
        <w:t xml:space="preserve"> que tiene el experto acerca del tema, se calculó sobre la base de la valoración del propio experto en una escala de 0 a 10 y multiplicado por 0,1 de modo que el valor 0 indica absoluto desconocimiento de la problemática que se evalúa y el valor 1 indi</w:t>
      </w:r>
      <w:proofErr w:type="spellStart"/>
      <w:r w:rsidRPr="007A6DDD">
        <w:rPr>
          <w:rFonts w:ascii="Arial" w:eastAsia="Calibri" w:hAnsi="Arial" w:cs="Arial"/>
          <w:bCs/>
          <w:sz w:val="24"/>
          <w:szCs w:val="24"/>
        </w:rPr>
        <w:t>ca</w:t>
      </w:r>
      <w:proofErr w:type="spellEnd"/>
      <w:r w:rsidRPr="007A6DDD">
        <w:rPr>
          <w:rFonts w:ascii="Arial" w:eastAsia="Calibri" w:hAnsi="Arial" w:cs="Arial"/>
          <w:bCs/>
          <w:sz w:val="24"/>
          <w:szCs w:val="24"/>
        </w:rPr>
        <w:t xml:space="preserve"> pleno conocimiento de la referida problemática. El experto marcó una cruz en la casilla que estimó pertinente. </w:t>
      </w:r>
    </w:p>
    <w:p w:rsidR="007A6DDD" w:rsidRPr="007A6DDD" w:rsidRDefault="007A6DDD" w:rsidP="007A6DDD">
      <w:pPr>
        <w:spacing w:line="360" w:lineRule="auto"/>
        <w:jc w:val="both"/>
        <w:rPr>
          <w:rFonts w:ascii="Arial" w:eastAsia="Calibri" w:hAnsi="Arial" w:cs="Arial"/>
          <w:bCs/>
          <w:sz w:val="24"/>
          <w:szCs w:val="24"/>
        </w:rPr>
      </w:pPr>
      <w:r w:rsidRPr="007A6DDD">
        <w:rPr>
          <w:rFonts w:ascii="Arial" w:eastAsia="Calibri" w:hAnsi="Arial" w:cs="Arial"/>
          <w:bCs/>
          <w:sz w:val="24"/>
          <w:szCs w:val="24"/>
        </w:rPr>
        <w:t xml:space="preserve">El </w:t>
      </w:r>
      <m:oMath>
        <m:r>
          <w:rPr>
            <w:rFonts w:ascii="Cambria Math" w:eastAsia="Calibri" w:hAnsi="Cambria Math" w:cs="Arial"/>
            <w:sz w:val="24"/>
            <w:szCs w:val="24"/>
            <w:lang w:val="es-ES"/>
          </w:rPr>
          <m:t>ka</m:t>
        </m:r>
      </m:oMath>
      <w:r w:rsidRPr="007A6DDD">
        <w:rPr>
          <w:rFonts w:ascii="Arial" w:eastAsia="Calibri" w:hAnsi="Arial" w:cs="Arial"/>
          <w:bCs/>
          <w:sz w:val="24"/>
          <w:szCs w:val="24"/>
        </w:rPr>
        <w:t xml:space="preserve"> de los criterios del experto, se determinó como resultado de la suma de los puntos alcanzados a partir de una tabla patrón (Anexo 8), que se les presentó en la encuesta sin cifras, orientándoles que marcaran con una (x) sobre cuál de las fuentes influyó más en sus conocimientos sobre el tema </w:t>
      </w:r>
      <w:r w:rsidRPr="007A6DDD">
        <w:rPr>
          <w:rFonts w:ascii="Arial" w:eastAsia="Calibri" w:hAnsi="Arial" w:cs="Arial"/>
          <w:bCs/>
          <w:sz w:val="24"/>
          <w:szCs w:val="24"/>
          <w:lang w:val="es-ES"/>
        </w:rPr>
        <w:t xml:space="preserve">de acuerdo con el grado alta (A), media (M) o baja (B). Posteriormente, utilizando los valores de la tabla patrón para cada una de las casillas marcadas por el experto, se calculó el número de puntos obtenidos en total. De esta forma, si el </w:t>
      </w:r>
      <m:oMath>
        <m:r>
          <w:rPr>
            <w:rFonts w:ascii="Cambria Math" w:eastAsia="Calibri" w:hAnsi="Cambria Math" w:cs="Arial"/>
            <w:sz w:val="24"/>
            <w:szCs w:val="24"/>
            <w:lang w:val="es-ES"/>
          </w:rPr>
          <m:t>ka</m:t>
        </m:r>
      </m:oMath>
      <w:r w:rsidRPr="007A6DDD">
        <w:rPr>
          <w:rFonts w:ascii="Arial" w:eastAsia="Calibri" w:hAnsi="Arial" w:cs="Arial"/>
          <w:bCs/>
          <w:sz w:val="24"/>
          <w:szCs w:val="24"/>
          <w:lang w:val="es-ES"/>
        </w:rPr>
        <w:t xml:space="preserve"> = 1,0, el grado de influencia de todas las fuentes es alto, si </w:t>
      </w:r>
      <m:oMath>
        <m:r>
          <w:rPr>
            <w:rFonts w:ascii="Cambria Math" w:eastAsia="Calibri" w:hAnsi="Cambria Math" w:cs="Arial"/>
            <w:sz w:val="24"/>
            <w:szCs w:val="24"/>
            <w:lang w:val="es-ES"/>
          </w:rPr>
          <m:t>ka</m:t>
        </m:r>
      </m:oMath>
      <w:r w:rsidRPr="007A6DDD">
        <w:rPr>
          <w:rFonts w:ascii="Arial" w:eastAsia="Calibri" w:hAnsi="Arial" w:cs="Arial"/>
          <w:bCs/>
          <w:sz w:val="24"/>
          <w:szCs w:val="24"/>
          <w:lang w:val="es-ES"/>
        </w:rPr>
        <w:t xml:space="preserve"> =0,8, es un grado medio y si </w:t>
      </w:r>
      <m:oMath>
        <m:r>
          <w:rPr>
            <w:rFonts w:ascii="Cambria Math" w:eastAsia="Calibri" w:hAnsi="Cambria Math" w:cs="Arial"/>
            <w:sz w:val="24"/>
            <w:szCs w:val="24"/>
            <w:lang w:val="es-ES"/>
          </w:rPr>
          <m:t>ka</m:t>
        </m:r>
      </m:oMath>
      <w:r w:rsidRPr="007A6DDD">
        <w:rPr>
          <w:rFonts w:ascii="Arial" w:eastAsia="Calibri" w:hAnsi="Arial" w:cs="Arial"/>
          <w:bCs/>
          <w:sz w:val="24"/>
          <w:szCs w:val="24"/>
          <w:lang w:val="es-ES"/>
        </w:rPr>
        <w:t>= 0,5, se considera con grado bajo de influencia de las fuentes.</w:t>
      </w:r>
    </w:p>
    <w:p w:rsidR="007A6DDD" w:rsidRDefault="007A6DDD" w:rsidP="007A6DDD">
      <w:pPr>
        <w:spacing w:line="360" w:lineRule="auto"/>
        <w:jc w:val="both"/>
        <w:rPr>
          <w:rFonts w:ascii="Arial" w:eastAsia="Calibri" w:hAnsi="Arial" w:cs="Arial"/>
          <w:bCs/>
          <w:sz w:val="24"/>
          <w:szCs w:val="24"/>
        </w:rPr>
      </w:pPr>
      <w:r w:rsidRPr="007A6DDD">
        <w:rPr>
          <w:rFonts w:ascii="Arial" w:eastAsia="Calibri" w:hAnsi="Arial" w:cs="Arial"/>
          <w:bCs/>
          <w:sz w:val="24"/>
          <w:szCs w:val="24"/>
        </w:rPr>
        <w:t>Después de calculado el coeficiente</w:t>
      </w:r>
      <m:oMath>
        <m:r>
          <m:rPr>
            <m:sty m:val="p"/>
          </m:rPr>
          <w:rPr>
            <w:rFonts w:ascii="Cambria Math" w:eastAsia="Calibri" w:hAnsi="Cambria Math" w:cs="Arial"/>
            <w:sz w:val="24"/>
            <w:szCs w:val="24"/>
          </w:rPr>
          <m:t>k</m:t>
        </m:r>
      </m:oMath>
      <w:r w:rsidRPr="007A6DDD">
        <w:rPr>
          <w:rFonts w:ascii="Arial" w:eastAsia="Calibri" w:hAnsi="Arial" w:cs="Arial"/>
          <w:bCs/>
          <w:sz w:val="24"/>
          <w:szCs w:val="24"/>
        </w:rPr>
        <w:t>, se consideraron los siguientes intervalos para definir la competencia del experto: nivel bajo (</w:t>
      </w:r>
      <m:oMath>
        <m:r>
          <m:rPr>
            <m:sty m:val="p"/>
          </m:rPr>
          <w:rPr>
            <w:rFonts w:ascii="Cambria Math" w:eastAsia="Calibri" w:hAnsi="Cambria Math" w:cs="Arial"/>
            <w:sz w:val="24"/>
            <w:szCs w:val="24"/>
          </w:rPr>
          <m:t>k</m:t>
        </m:r>
      </m:oMath>
      <w:r w:rsidRPr="007A6DDD">
        <w:rPr>
          <w:rFonts w:ascii="Arial" w:eastAsia="Calibri" w:hAnsi="Arial" w:cs="Arial"/>
          <w:bCs/>
          <w:sz w:val="24"/>
          <w:szCs w:val="24"/>
        </w:rPr>
        <w:t xml:space="preserve"> &lt;0,5), nivel medio (0,5&lt;</w:t>
      </w:r>
      <m:oMath>
        <m:r>
          <m:rPr>
            <m:sty m:val="p"/>
          </m:rPr>
          <w:rPr>
            <w:rFonts w:ascii="Cambria Math" w:eastAsia="Calibri" w:hAnsi="Cambria Math" w:cs="Arial"/>
            <w:sz w:val="24"/>
            <w:szCs w:val="24"/>
          </w:rPr>
          <m:t xml:space="preserve"> k</m:t>
        </m:r>
      </m:oMath>
      <w:r w:rsidRPr="007A6DDD">
        <w:rPr>
          <w:rFonts w:ascii="Arial" w:eastAsia="Calibri" w:hAnsi="Arial" w:cs="Arial"/>
          <w:bCs/>
          <w:sz w:val="24"/>
          <w:szCs w:val="24"/>
        </w:rPr>
        <w:t xml:space="preserve"> &lt;0,8) y nivel alto (0,8&lt;</w:t>
      </w:r>
      <m:oMath>
        <m:r>
          <m:rPr>
            <m:sty m:val="p"/>
          </m:rPr>
          <w:rPr>
            <w:rFonts w:ascii="Cambria Math" w:eastAsia="Calibri" w:hAnsi="Cambria Math" w:cs="Arial"/>
            <w:sz w:val="24"/>
            <w:szCs w:val="24"/>
          </w:rPr>
          <m:t xml:space="preserve"> k</m:t>
        </m:r>
      </m:oMath>
      <w:r w:rsidRPr="007A6DDD">
        <w:rPr>
          <w:rFonts w:ascii="Arial" w:eastAsia="Calibri" w:hAnsi="Arial" w:cs="Arial"/>
          <w:bCs/>
          <w:sz w:val="24"/>
          <w:szCs w:val="24"/>
        </w:rPr>
        <w:t xml:space="preserve"> &lt;1). </w:t>
      </w:r>
    </w:p>
    <w:p w:rsidR="007A6DDD" w:rsidRPr="007A6DDD" w:rsidRDefault="007A6DDD" w:rsidP="007A6DDD">
      <w:pPr>
        <w:spacing w:line="360" w:lineRule="auto"/>
        <w:jc w:val="both"/>
        <w:rPr>
          <w:rFonts w:ascii="Arial" w:eastAsia="Calibri" w:hAnsi="Arial" w:cs="Arial"/>
          <w:bCs/>
          <w:sz w:val="24"/>
          <w:szCs w:val="24"/>
        </w:rPr>
      </w:pPr>
      <w:bookmarkStart w:id="0" w:name="_GoBack"/>
      <w:bookmarkEnd w:id="0"/>
      <w:r w:rsidRPr="007A6DDD">
        <w:rPr>
          <w:rFonts w:ascii="Arial" w:eastAsia="Calibri" w:hAnsi="Arial" w:cs="Arial"/>
          <w:bCs/>
          <w:sz w:val="24"/>
          <w:szCs w:val="24"/>
        </w:rPr>
        <w:t xml:space="preserve">A cada experto se le solicitó que dieran su opinión en relación a las variables </w:t>
      </w:r>
      <w:proofErr w:type="spellStart"/>
      <w:r w:rsidRPr="007A6DDD">
        <w:rPr>
          <w:rFonts w:ascii="Arial" w:eastAsia="Calibri" w:hAnsi="Arial" w:cs="Arial"/>
          <w:bCs/>
          <w:sz w:val="24"/>
          <w:szCs w:val="24"/>
        </w:rPr>
        <w:t>predictoras</w:t>
      </w:r>
      <w:proofErr w:type="spellEnd"/>
      <w:r w:rsidRPr="007A6DDD">
        <w:rPr>
          <w:rFonts w:ascii="Arial" w:eastAsia="Calibri" w:hAnsi="Arial" w:cs="Arial"/>
          <w:bCs/>
          <w:sz w:val="24"/>
          <w:szCs w:val="24"/>
        </w:rPr>
        <w:t xml:space="preserve"> incluidas en la escala y su valor predictivo con la muerte por ECV en adultos mayores (Anexo 10). Se les pidió que evaluaran esa relación en alguna de las siguientes categorías: MA, BA, A, PA e I. </w:t>
      </w:r>
      <w:r w:rsidRPr="007A6DDD">
        <w:rPr>
          <w:rFonts w:ascii="Arial" w:eastAsia="Calibri" w:hAnsi="Arial" w:cs="Arial"/>
          <w:bCs/>
          <w:sz w:val="24"/>
          <w:szCs w:val="24"/>
          <w:lang w:val="es-ES"/>
        </w:rPr>
        <w:t>Por último, las respuestas de preguntas de tipo cualitativo fueron procesadas para obtener distribuciones de frecuencias y el histograma correspondiente a cada distribución</w:t>
      </w:r>
      <w:r w:rsidRPr="007A6DDD">
        <w:rPr>
          <w:rFonts w:ascii="Arial" w:eastAsia="Calibri" w:hAnsi="Arial" w:cs="Arial"/>
          <w:bCs/>
          <w:sz w:val="24"/>
          <w:szCs w:val="24"/>
        </w:rPr>
        <w:t xml:space="preserve">. </w:t>
      </w:r>
    </w:p>
    <w:p w:rsidR="007A6DDD" w:rsidRPr="007A6DDD" w:rsidRDefault="007A6DDD" w:rsidP="007A6DDD">
      <w:pPr>
        <w:spacing w:line="360" w:lineRule="auto"/>
        <w:jc w:val="both"/>
        <w:rPr>
          <w:rFonts w:ascii="Arial" w:eastAsia="Calibri" w:hAnsi="Arial" w:cs="Arial"/>
          <w:bCs/>
          <w:sz w:val="24"/>
          <w:szCs w:val="24"/>
        </w:rPr>
      </w:pPr>
      <w:r w:rsidRPr="007A6DDD">
        <w:rPr>
          <w:rFonts w:ascii="Arial" w:eastAsia="Calibri" w:hAnsi="Arial" w:cs="Arial"/>
          <w:bCs/>
          <w:sz w:val="24"/>
          <w:szCs w:val="24"/>
        </w:rPr>
        <w:t xml:space="preserve">Se determinó la confiabilidad ítems-test según la respuesta dada por los expertos al calcular el coeficiente </w:t>
      </w:r>
      <w:r w:rsidRPr="007A6DDD">
        <w:rPr>
          <w:rFonts w:ascii="Arial" w:eastAsia="Calibri" w:hAnsi="Arial" w:cs="Arial"/>
          <w:bCs/>
          <w:i/>
          <w:sz w:val="24"/>
          <w:szCs w:val="24"/>
        </w:rPr>
        <w:t xml:space="preserve">alfa de </w:t>
      </w:r>
      <w:proofErr w:type="spellStart"/>
      <w:r w:rsidRPr="007A6DDD">
        <w:rPr>
          <w:rFonts w:ascii="Arial" w:eastAsia="Calibri" w:hAnsi="Arial" w:cs="Arial"/>
          <w:bCs/>
          <w:i/>
          <w:sz w:val="24"/>
          <w:szCs w:val="24"/>
        </w:rPr>
        <w:t>Cronbach</w:t>
      </w:r>
      <w:proofErr w:type="spellEnd"/>
      <w:r w:rsidRPr="007A6DDD">
        <w:rPr>
          <w:rFonts w:ascii="Arial" w:eastAsia="Calibri" w:hAnsi="Arial" w:cs="Arial"/>
          <w:bCs/>
          <w:sz w:val="24"/>
          <w:szCs w:val="24"/>
        </w:rPr>
        <w:t xml:space="preserve"> </w:t>
      </w:r>
      <w:r w:rsidRPr="007A6DDD">
        <w:rPr>
          <w:rFonts w:ascii="Arial" w:eastAsia="Calibri" w:hAnsi="Arial" w:cs="Arial"/>
          <w:bCs/>
          <w:sz w:val="24"/>
          <w:szCs w:val="24"/>
          <w:vertAlign w:val="superscript"/>
        </w:rPr>
        <w:t xml:space="preserve"> </w:t>
      </w:r>
      <w:r w:rsidRPr="007A6DDD">
        <w:rPr>
          <w:rFonts w:ascii="Arial" w:eastAsia="Calibri" w:hAnsi="Arial" w:cs="Arial"/>
          <w:bCs/>
          <w:sz w:val="24"/>
          <w:szCs w:val="24"/>
        </w:rPr>
        <w:t xml:space="preserve">utilizando la fórmula:    </w:t>
      </w:r>
      <w:r w:rsidRPr="007A6DDD">
        <w:rPr>
          <w:rFonts w:ascii="Arial" w:eastAsia="Calibri" w:hAnsi="Arial" w:cs="Arial"/>
          <w:bCs/>
          <w:sz w:val="24"/>
          <w:szCs w:val="24"/>
        </w:rPr>
        <w:br/>
      </w:r>
      <m:oMathPara>
        <m:oMath>
          <m:r>
            <w:rPr>
              <w:rFonts w:ascii="Cambria Math" w:eastAsia="Calibri" w:hAnsi="Cambria Math" w:cs="Arial"/>
              <w:sz w:val="24"/>
              <w:szCs w:val="24"/>
            </w:rPr>
            <m:t>α=</m:t>
          </m:r>
          <m:f>
            <m:fPr>
              <m:ctrlPr>
                <w:rPr>
                  <w:rFonts w:ascii="Cambria Math" w:eastAsia="Calibri" w:hAnsi="Cambria Math" w:cs="Arial"/>
                  <w:bCs/>
                  <w:sz w:val="24"/>
                  <w:szCs w:val="24"/>
                </w:rPr>
              </m:ctrlPr>
            </m:fPr>
            <m:num>
              <m:r>
                <m:rPr>
                  <m:sty m:val="p"/>
                </m:rPr>
                <w:rPr>
                  <w:rFonts w:ascii="Cambria Math" w:eastAsia="Calibri" w:hAnsi="Cambria Math" w:cs="Arial"/>
                  <w:sz w:val="24"/>
                  <w:szCs w:val="24"/>
                </w:rPr>
                <m:t>k</m:t>
              </m:r>
            </m:num>
            <m:den>
              <m:r>
                <m:rPr>
                  <m:sty m:val="p"/>
                </m:rPr>
                <w:rPr>
                  <w:rFonts w:ascii="Cambria Math" w:eastAsia="Calibri" w:hAnsi="Cambria Math" w:cs="Arial"/>
                  <w:sz w:val="24"/>
                  <w:szCs w:val="24"/>
                </w:rPr>
                <m:t>k-1</m:t>
              </m:r>
            </m:den>
          </m:f>
          <m:d>
            <m:dPr>
              <m:begChr m:val="["/>
              <m:endChr m:val="]"/>
              <m:ctrlPr>
                <w:rPr>
                  <w:rFonts w:ascii="Cambria Math" w:eastAsia="Calibri" w:hAnsi="Cambria Math" w:cs="Arial"/>
                  <w:bCs/>
                  <w:i/>
                  <w:sz w:val="24"/>
                  <w:szCs w:val="24"/>
                </w:rPr>
              </m:ctrlPr>
            </m:dPr>
            <m:e>
              <m:r>
                <w:rPr>
                  <w:rFonts w:ascii="Cambria Math" w:eastAsia="Calibri" w:hAnsi="Cambria Math" w:cs="Arial"/>
                  <w:sz w:val="24"/>
                  <w:szCs w:val="24"/>
                </w:rPr>
                <m:t>1-</m:t>
              </m:r>
              <m:f>
                <m:fPr>
                  <m:ctrlPr>
                    <w:rPr>
                      <w:rFonts w:ascii="Cambria Math" w:eastAsia="Calibri" w:hAnsi="Cambria Math" w:cs="Arial"/>
                      <w:bCs/>
                      <w:i/>
                      <w:sz w:val="24"/>
                      <w:szCs w:val="24"/>
                    </w:rPr>
                  </m:ctrlPr>
                </m:fPr>
                <m:num>
                  <m:nary>
                    <m:naryPr>
                      <m:chr m:val="∑"/>
                      <m:limLoc m:val="undOvr"/>
                      <m:ctrlPr>
                        <w:rPr>
                          <w:rFonts w:ascii="Cambria Math" w:eastAsia="Calibri" w:hAnsi="Cambria Math" w:cs="Arial"/>
                          <w:bCs/>
                          <w:i/>
                          <w:sz w:val="24"/>
                          <w:szCs w:val="24"/>
                        </w:rPr>
                      </m:ctrlPr>
                    </m:naryPr>
                    <m:sub>
                      <m:r>
                        <w:rPr>
                          <w:rFonts w:ascii="Cambria Math" w:eastAsia="Calibri" w:hAnsi="Cambria Math" w:cs="Arial"/>
                          <w:sz w:val="24"/>
                          <w:szCs w:val="24"/>
                        </w:rPr>
                        <m:t>i=1</m:t>
                      </m:r>
                    </m:sub>
                    <m:sup>
                      <m:r>
                        <w:rPr>
                          <w:rFonts w:ascii="Cambria Math" w:eastAsia="Calibri" w:hAnsi="Cambria Math" w:cs="Arial"/>
                          <w:sz w:val="24"/>
                          <w:szCs w:val="24"/>
                        </w:rPr>
                        <m:t>k</m:t>
                      </m:r>
                    </m:sup>
                    <m:e>
                      <m:sSubSup>
                        <m:sSubSupPr>
                          <m:ctrlPr>
                            <w:rPr>
                              <w:rFonts w:ascii="Cambria Math" w:eastAsia="Calibri" w:hAnsi="Cambria Math" w:cs="Arial"/>
                              <w:bCs/>
                              <w:i/>
                              <w:sz w:val="24"/>
                              <w:szCs w:val="24"/>
                            </w:rPr>
                          </m:ctrlPr>
                        </m:sSubSupPr>
                        <m:e>
                          <m:r>
                            <w:rPr>
                              <w:rFonts w:ascii="Cambria Math" w:eastAsia="Calibri" w:hAnsi="Cambria Math" w:cs="Arial"/>
                              <w:sz w:val="24"/>
                              <w:szCs w:val="24"/>
                            </w:rPr>
                            <m:t>S</m:t>
                          </m:r>
                        </m:e>
                        <m:sub>
                          <m:r>
                            <w:rPr>
                              <w:rFonts w:ascii="Cambria Math" w:eastAsia="Calibri" w:hAnsi="Cambria Math" w:cs="Arial"/>
                              <w:sz w:val="24"/>
                              <w:szCs w:val="24"/>
                            </w:rPr>
                            <m:t>i</m:t>
                          </m:r>
                        </m:sub>
                        <m:sup>
                          <m:r>
                            <w:rPr>
                              <w:rFonts w:ascii="Cambria Math" w:eastAsia="Calibri" w:hAnsi="Cambria Math" w:cs="Arial"/>
                              <w:sz w:val="24"/>
                              <w:szCs w:val="24"/>
                            </w:rPr>
                            <m:t>2</m:t>
                          </m:r>
                        </m:sup>
                      </m:sSubSup>
                    </m:e>
                  </m:nary>
                </m:num>
                <m:den>
                  <m:sSubSup>
                    <m:sSubSupPr>
                      <m:ctrlPr>
                        <w:rPr>
                          <w:rFonts w:ascii="Cambria Math" w:eastAsia="Calibri" w:hAnsi="Cambria Math" w:cs="Arial"/>
                          <w:bCs/>
                          <w:i/>
                          <w:sz w:val="24"/>
                          <w:szCs w:val="24"/>
                        </w:rPr>
                      </m:ctrlPr>
                    </m:sSubSupPr>
                    <m:e>
                      <m:r>
                        <w:rPr>
                          <w:rFonts w:ascii="Cambria Math" w:eastAsia="Calibri" w:hAnsi="Cambria Math" w:cs="Arial"/>
                          <w:sz w:val="24"/>
                          <w:szCs w:val="24"/>
                        </w:rPr>
                        <m:t>S</m:t>
                      </m:r>
                    </m:e>
                    <m:sub>
                      <m:r>
                        <w:rPr>
                          <w:rFonts w:ascii="Cambria Math" w:eastAsia="Calibri" w:hAnsi="Cambria Math" w:cs="Arial"/>
                          <w:sz w:val="24"/>
                          <w:szCs w:val="24"/>
                        </w:rPr>
                        <m:t>t</m:t>
                      </m:r>
                    </m:sub>
                    <m:sup>
                      <m:r>
                        <w:rPr>
                          <w:rFonts w:ascii="Cambria Math" w:eastAsia="Calibri" w:hAnsi="Cambria Math" w:cs="Arial"/>
                          <w:sz w:val="24"/>
                          <w:szCs w:val="24"/>
                        </w:rPr>
                        <m:t>2</m:t>
                      </m:r>
                    </m:sup>
                  </m:sSubSup>
                </m:den>
              </m:f>
            </m:e>
          </m:d>
        </m:oMath>
      </m:oMathPara>
    </w:p>
    <w:p w:rsidR="007A6DDD" w:rsidRPr="007A6DDD" w:rsidRDefault="007A6DDD" w:rsidP="007A6DDD">
      <w:pPr>
        <w:spacing w:line="360" w:lineRule="auto"/>
        <w:jc w:val="both"/>
        <w:rPr>
          <w:rFonts w:ascii="Arial" w:eastAsia="Calibri" w:hAnsi="Arial" w:cs="Arial"/>
          <w:bCs/>
          <w:sz w:val="24"/>
          <w:szCs w:val="24"/>
        </w:rPr>
      </w:pPr>
      <w:proofErr w:type="gramStart"/>
      <w:r w:rsidRPr="007A6DDD">
        <w:rPr>
          <w:rFonts w:ascii="Arial" w:eastAsia="Calibri" w:hAnsi="Arial" w:cs="Arial"/>
          <w:bCs/>
          <w:sz w:val="24"/>
          <w:szCs w:val="24"/>
        </w:rPr>
        <w:lastRenderedPageBreak/>
        <w:t>donde</w:t>
      </w:r>
      <w:proofErr w:type="gramEnd"/>
      <w:r w:rsidRPr="007A6DDD">
        <w:rPr>
          <w:rFonts w:ascii="Arial" w:eastAsia="Calibri" w:hAnsi="Arial" w:cs="Arial"/>
          <w:bCs/>
          <w:sz w:val="24"/>
          <w:szCs w:val="24"/>
        </w:rPr>
        <w:t xml:space="preserve"> </w:t>
      </w:r>
      <m:oMath>
        <m:r>
          <m:rPr>
            <m:sty m:val="p"/>
          </m:rPr>
          <w:rPr>
            <w:rFonts w:ascii="Cambria Math" w:eastAsia="Calibri" w:hAnsi="Cambria Math" w:cs="Arial"/>
            <w:sz w:val="24"/>
            <w:szCs w:val="24"/>
          </w:rPr>
          <m:t>k</m:t>
        </m:r>
      </m:oMath>
      <w:r w:rsidRPr="007A6DDD">
        <w:rPr>
          <w:rFonts w:ascii="Arial" w:eastAsia="Calibri" w:hAnsi="Arial" w:cs="Arial"/>
          <w:bCs/>
          <w:sz w:val="24"/>
          <w:szCs w:val="24"/>
        </w:rPr>
        <w:t xml:space="preserve"> es el número de predictores;  </w:t>
      </w:r>
      <m:oMath>
        <m:sSubSup>
          <m:sSubSupPr>
            <m:ctrlPr>
              <w:rPr>
                <w:rFonts w:ascii="Cambria Math" w:eastAsia="Calibri" w:hAnsi="Cambria Math" w:cs="Arial"/>
                <w:bCs/>
                <w:i/>
                <w:sz w:val="24"/>
                <w:szCs w:val="24"/>
              </w:rPr>
            </m:ctrlPr>
          </m:sSubSupPr>
          <m:e>
            <m:r>
              <w:rPr>
                <w:rFonts w:ascii="Cambria Math" w:eastAsia="Calibri" w:hAnsi="Cambria Math" w:cs="Arial"/>
                <w:sz w:val="24"/>
                <w:szCs w:val="24"/>
              </w:rPr>
              <m:t>S</m:t>
            </m:r>
          </m:e>
          <m:sub>
            <m:r>
              <w:rPr>
                <w:rFonts w:ascii="Cambria Math" w:eastAsia="Calibri" w:hAnsi="Cambria Math" w:cs="Arial"/>
                <w:sz w:val="24"/>
                <w:szCs w:val="24"/>
              </w:rPr>
              <m:t>i</m:t>
            </m:r>
          </m:sub>
          <m:sup>
            <m:r>
              <w:rPr>
                <w:rFonts w:ascii="Cambria Math" w:eastAsia="Calibri" w:hAnsi="Cambria Math" w:cs="Arial"/>
                <w:sz w:val="24"/>
                <w:szCs w:val="24"/>
              </w:rPr>
              <m:t>2</m:t>
            </m:r>
          </m:sup>
        </m:sSubSup>
      </m:oMath>
      <w:r w:rsidRPr="007A6DDD">
        <w:rPr>
          <w:rFonts w:ascii="Arial" w:eastAsia="Calibri" w:hAnsi="Arial" w:cs="Arial"/>
          <w:bCs/>
          <w:sz w:val="24"/>
          <w:szCs w:val="24"/>
        </w:rPr>
        <w:t xml:space="preserve">: suma de la varianza de cada predictor y </w:t>
      </w:r>
      <m:oMath>
        <m:sSubSup>
          <m:sSubSupPr>
            <m:ctrlPr>
              <w:rPr>
                <w:rFonts w:ascii="Cambria Math" w:eastAsia="Calibri" w:hAnsi="Cambria Math" w:cs="Arial"/>
                <w:bCs/>
                <w:i/>
                <w:sz w:val="24"/>
                <w:szCs w:val="24"/>
              </w:rPr>
            </m:ctrlPr>
          </m:sSubSupPr>
          <m:e>
            <m:r>
              <w:rPr>
                <w:rFonts w:ascii="Cambria Math" w:eastAsia="Calibri" w:hAnsi="Cambria Math" w:cs="Arial"/>
                <w:sz w:val="24"/>
                <w:szCs w:val="24"/>
              </w:rPr>
              <m:t>S</m:t>
            </m:r>
          </m:e>
          <m:sub>
            <m:r>
              <w:rPr>
                <w:rFonts w:ascii="Cambria Math" w:eastAsia="Calibri" w:hAnsi="Cambria Math" w:cs="Arial"/>
                <w:sz w:val="24"/>
                <w:szCs w:val="24"/>
              </w:rPr>
              <m:t>t</m:t>
            </m:r>
          </m:sub>
          <m:sup>
            <m:r>
              <w:rPr>
                <w:rFonts w:ascii="Cambria Math" w:eastAsia="Calibri" w:hAnsi="Cambria Math" w:cs="Arial"/>
                <w:sz w:val="24"/>
                <w:szCs w:val="24"/>
              </w:rPr>
              <m:t>2</m:t>
            </m:r>
          </m:sup>
        </m:sSubSup>
      </m:oMath>
      <w:r w:rsidRPr="007A6DDD">
        <w:rPr>
          <w:rFonts w:ascii="Arial" w:eastAsia="Calibri" w:hAnsi="Arial" w:cs="Arial"/>
          <w:bCs/>
          <w:sz w:val="24"/>
          <w:szCs w:val="24"/>
        </w:rPr>
        <w:t xml:space="preserve">: varianza de la suma de los predictores. </w:t>
      </w:r>
    </w:p>
    <w:p w:rsidR="007A6DDD" w:rsidRPr="007A6DDD" w:rsidRDefault="007A6DDD" w:rsidP="007A6DDD">
      <w:pPr>
        <w:spacing w:line="360" w:lineRule="auto"/>
        <w:jc w:val="both"/>
        <w:rPr>
          <w:rFonts w:ascii="Arial" w:eastAsia="Calibri" w:hAnsi="Arial" w:cs="Arial"/>
          <w:bCs/>
          <w:sz w:val="24"/>
          <w:szCs w:val="24"/>
        </w:rPr>
      </w:pPr>
      <w:r w:rsidRPr="007A6DDD">
        <w:rPr>
          <w:rFonts w:ascii="Arial" w:eastAsia="Calibri" w:hAnsi="Arial" w:cs="Arial"/>
          <w:bCs/>
          <w:sz w:val="24"/>
          <w:szCs w:val="24"/>
        </w:rPr>
        <w:t xml:space="preserve">El </w:t>
      </w:r>
      <w:r w:rsidRPr="007A6DDD">
        <w:rPr>
          <w:rFonts w:ascii="Arial" w:eastAsia="Calibri" w:hAnsi="Arial" w:cs="Arial"/>
          <w:bCs/>
          <w:i/>
          <w:sz w:val="24"/>
          <w:szCs w:val="24"/>
        </w:rPr>
        <w:t xml:space="preserve">alfa de </w:t>
      </w:r>
      <w:proofErr w:type="spellStart"/>
      <w:r w:rsidRPr="007A6DDD">
        <w:rPr>
          <w:rFonts w:ascii="Arial" w:eastAsia="Calibri" w:hAnsi="Arial" w:cs="Arial"/>
          <w:bCs/>
          <w:i/>
          <w:sz w:val="24"/>
          <w:szCs w:val="24"/>
        </w:rPr>
        <w:t>Cronbach</w:t>
      </w:r>
      <w:proofErr w:type="spellEnd"/>
      <w:r w:rsidRPr="007A6DDD">
        <w:rPr>
          <w:rFonts w:ascii="Arial" w:eastAsia="Calibri" w:hAnsi="Arial" w:cs="Arial"/>
          <w:bCs/>
          <w:sz w:val="24"/>
          <w:szCs w:val="24"/>
        </w:rPr>
        <w:t xml:space="preserve"> expresa la correlación media de una variable con todas las demás que integran el instrumento y toma valores entre 0 y 1, aunque también puede mostrar valores negativos, lo que indicaría que en la escala hay predictores que miden lo opuesto al resto. Se consideró la confiabilidad ítems-test según el valor del coeficiente </w:t>
      </w:r>
      <w:r w:rsidRPr="007A6DDD">
        <w:rPr>
          <w:rFonts w:ascii="Arial" w:eastAsia="Calibri" w:hAnsi="Arial" w:cs="Arial"/>
          <w:bCs/>
          <w:i/>
          <w:sz w:val="24"/>
          <w:szCs w:val="24"/>
        </w:rPr>
        <w:t xml:space="preserve">alfa de </w:t>
      </w:r>
      <w:proofErr w:type="spellStart"/>
      <w:r w:rsidRPr="007A6DDD">
        <w:rPr>
          <w:rFonts w:ascii="Arial" w:eastAsia="Calibri" w:hAnsi="Arial" w:cs="Arial"/>
          <w:bCs/>
          <w:i/>
          <w:sz w:val="24"/>
          <w:szCs w:val="24"/>
        </w:rPr>
        <w:t>Cronbach</w:t>
      </w:r>
      <w:proofErr w:type="spellEnd"/>
      <w:r w:rsidRPr="007A6DDD">
        <w:rPr>
          <w:rFonts w:ascii="Arial" w:eastAsia="Calibri" w:hAnsi="Arial" w:cs="Arial"/>
          <w:bCs/>
          <w:sz w:val="24"/>
          <w:szCs w:val="24"/>
        </w:rPr>
        <w:t xml:space="preserve">: &lt;0,5 (no aceptable), mayor o igual a 0,5 pero menor de 0,6 (pobre), mayor o igual a 0,6 pero menor de 0,7 (débil), mayor o igual de 0,7 pero menor de 0,8 (aceptable), mayor o igual de 0,8 pero menor de 0,9 (buena) y mayor o igual de 0,9 (excelente). </w:t>
      </w:r>
    </w:p>
    <w:p w:rsidR="007A6DDD" w:rsidRPr="007A6DDD" w:rsidRDefault="007A6DDD" w:rsidP="007A6DDD">
      <w:pPr>
        <w:spacing w:line="360" w:lineRule="auto"/>
        <w:jc w:val="both"/>
        <w:rPr>
          <w:rFonts w:ascii="Arial" w:eastAsia="Calibri" w:hAnsi="Arial" w:cs="Arial"/>
          <w:bCs/>
          <w:sz w:val="24"/>
          <w:szCs w:val="24"/>
        </w:rPr>
      </w:pPr>
      <w:r w:rsidRPr="007A6DDD">
        <w:rPr>
          <w:rFonts w:ascii="Arial" w:eastAsia="Calibri" w:hAnsi="Arial" w:cs="Arial"/>
          <w:bCs/>
          <w:sz w:val="24"/>
          <w:szCs w:val="24"/>
        </w:rPr>
        <w:t xml:space="preserve">Validez de constructo. </w:t>
      </w:r>
    </w:p>
    <w:p w:rsidR="007A6DDD" w:rsidRPr="007A6DDD" w:rsidRDefault="007A6DDD" w:rsidP="007A6DDD">
      <w:pPr>
        <w:spacing w:line="360" w:lineRule="auto"/>
        <w:jc w:val="both"/>
        <w:rPr>
          <w:rFonts w:ascii="Arial" w:eastAsia="Calibri" w:hAnsi="Arial" w:cs="Arial"/>
          <w:bCs/>
          <w:sz w:val="24"/>
          <w:szCs w:val="24"/>
        </w:rPr>
      </w:pPr>
      <w:r w:rsidRPr="007A6DDD">
        <w:rPr>
          <w:rFonts w:ascii="Arial" w:eastAsia="Calibri" w:hAnsi="Arial" w:cs="Arial"/>
          <w:bCs/>
          <w:sz w:val="24"/>
          <w:szCs w:val="24"/>
        </w:rPr>
        <w:t xml:space="preserve">Para evaluarla se decidió definir la asociación entre las categorías de riesgo que da la escala creada y la relación con el estado del paciente. Se evaluó a partir del </w:t>
      </w:r>
      <w:r w:rsidRPr="007A6DDD">
        <w:rPr>
          <w:rFonts w:ascii="Arial" w:eastAsia="Calibri" w:hAnsi="Arial" w:cs="Arial"/>
          <w:bCs/>
          <w:i/>
          <w:sz w:val="24"/>
          <w:szCs w:val="24"/>
        </w:rPr>
        <w:t>Ji</w:t>
      </w:r>
      <w:r w:rsidRPr="007A6DDD">
        <w:rPr>
          <w:rFonts w:ascii="Arial" w:eastAsia="Calibri" w:hAnsi="Arial" w:cs="Arial"/>
          <w:bCs/>
          <w:sz w:val="24"/>
          <w:szCs w:val="24"/>
        </w:rPr>
        <w:t xml:space="preserve">-cuadrado y el coeficiente </w:t>
      </w:r>
      <w:r w:rsidRPr="007A6DDD">
        <w:rPr>
          <w:rFonts w:ascii="Arial" w:eastAsia="Calibri" w:hAnsi="Arial" w:cs="Arial"/>
          <w:bCs/>
          <w:i/>
          <w:sz w:val="24"/>
          <w:szCs w:val="24"/>
        </w:rPr>
        <w:t>Tau b de Kendall</w:t>
      </w:r>
      <w:r w:rsidRPr="007A6DDD">
        <w:rPr>
          <w:rFonts w:ascii="Arial" w:eastAsia="Calibri" w:hAnsi="Arial" w:cs="Arial"/>
          <w:bCs/>
          <w:sz w:val="24"/>
          <w:szCs w:val="24"/>
        </w:rPr>
        <w:t xml:space="preserve"> para la asociación de variables ordinales. Sus valores varían de −1 (asociación negativa al 100% o inversión perfecta) a +1 (asociación positiva al 100% o acuerdo perfecto). Un valor de cero indica la ausencia de asociación.</w:t>
      </w:r>
      <w:r w:rsidRPr="007A6DDD">
        <w:rPr>
          <w:rFonts w:ascii="Arial" w:eastAsia="Calibri" w:hAnsi="Arial" w:cs="Arial"/>
          <w:bCs/>
          <w:sz w:val="24"/>
          <w:szCs w:val="24"/>
          <w:vertAlign w:val="superscript"/>
        </w:rPr>
        <w:t xml:space="preserve"> 99 </w:t>
      </w:r>
      <w:r w:rsidRPr="007A6DDD">
        <w:rPr>
          <w:rFonts w:ascii="Arial" w:eastAsia="Calibri" w:hAnsi="Arial" w:cs="Arial"/>
          <w:bCs/>
          <w:sz w:val="24"/>
          <w:szCs w:val="24"/>
        </w:rPr>
        <w:t xml:space="preserve">Además, se aplicó la prueba t de </w:t>
      </w:r>
      <w:proofErr w:type="spellStart"/>
      <w:r w:rsidRPr="007A6DDD">
        <w:rPr>
          <w:rFonts w:ascii="Arial" w:eastAsia="Calibri" w:hAnsi="Arial" w:cs="Arial"/>
          <w:bCs/>
          <w:i/>
          <w:sz w:val="24"/>
          <w:szCs w:val="24"/>
        </w:rPr>
        <w:t>Student</w:t>
      </w:r>
      <w:proofErr w:type="spellEnd"/>
      <w:r w:rsidRPr="007A6DDD">
        <w:rPr>
          <w:rFonts w:ascii="Arial" w:eastAsia="Calibri" w:hAnsi="Arial" w:cs="Arial"/>
          <w:bCs/>
          <w:sz w:val="24"/>
          <w:szCs w:val="24"/>
        </w:rPr>
        <w:t xml:space="preserve"> para muestras independientes para comparar los valores promedios del puntaje al aplicar la escala en vivos y fallecidos. </w:t>
      </w:r>
    </w:p>
    <w:p w:rsidR="007A6DDD" w:rsidRPr="007A6DDD" w:rsidRDefault="007A6DDD" w:rsidP="007A6DDD">
      <w:pPr>
        <w:spacing w:line="360" w:lineRule="auto"/>
        <w:jc w:val="both"/>
        <w:rPr>
          <w:rFonts w:ascii="Arial" w:eastAsia="Calibri" w:hAnsi="Arial" w:cs="Arial"/>
          <w:bCs/>
          <w:sz w:val="24"/>
          <w:szCs w:val="24"/>
        </w:rPr>
      </w:pPr>
      <w:r w:rsidRPr="007A6DDD">
        <w:rPr>
          <w:rFonts w:ascii="Arial" w:eastAsia="Calibri" w:hAnsi="Arial" w:cs="Arial"/>
          <w:bCs/>
          <w:sz w:val="24"/>
          <w:szCs w:val="24"/>
        </w:rPr>
        <w:t xml:space="preserve">Validez de criterio. </w:t>
      </w:r>
    </w:p>
    <w:p w:rsidR="007A6DDD" w:rsidRPr="007A6DDD" w:rsidRDefault="007A6DDD" w:rsidP="007A6DDD">
      <w:pPr>
        <w:spacing w:line="360" w:lineRule="auto"/>
        <w:jc w:val="both"/>
        <w:rPr>
          <w:rFonts w:ascii="Arial" w:eastAsia="Calibri" w:hAnsi="Arial" w:cs="Arial"/>
          <w:bCs/>
          <w:sz w:val="24"/>
          <w:szCs w:val="24"/>
        </w:rPr>
      </w:pPr>
      <w:r w:rsidRPr="007A6DDD">
        <w:rPr>
          <w:rFonts w:ascii="Arial" w:eastAsia="Calibri" w:hAnsi="Arial" w:cs="Arial"/>
          <w:bCs/>
          <w:sz w:val="24"/>
          <w:szCs w:val="24"/>
        </w:rPr>
        <w:t>Se realizó comparando la escala creada con la escala EPICARDIAN, la misma está diseñada</w:t>
      </w:r>
      <w:r w:rsidRPr="007A6DDD">
        <w:rPr>
          <w:rFonts w:ascii="Arial" w:eastAsia="Calibri" w:hAnsi="Arial" w:cs="Arial"/>
          <w:bCs/>
          <w:sz w:val="24"/>
          <w:szCs w:val="24"/>
          <w:lang w:val="es-ES"/>
        </w:rPr>
        <w:t xml:space="preserve"> para hombres y mujeres, por lo que para poder compararlas, se separó la escala diseñada por sexo. </w:t>
      </w:r>
      <w:r w:rsidRPr="007A6DDD">
        <w:rPr>
          <w:rFonts w:ascii="Arial" w:eastAsia="Calibri" w:hAnsi="Arial" w:cs="Arial"/>
          <w:bCs/>
          <w:sz w:val="24"/>
          <w:szCs w:val="24"/>
        </w:rPr>
        <w:t xml:space="preserve">Se determinó la capacidad de discriminación de ambas escalas mediante la curva ROC y la calibración utilizando la prueba de </w:t>
      </w:r>
      <w:proofErr w:type="spellStart"/>
      <w:r w:rsidRPr="007A6DDD">
        <w:rPr>
          <w:rFonts w:ascii="Arial" w:eastAsia="Calibri" w:hAnsi="Arial" w:cs="Arial"/>
          <w:bCs/>
          <w:i/>
          <w:sz w:val="24"/>
          <w:szCs w:val="24"/>
        </w:rPr>
        <w:t>Hosmer-Lemeshow</w:t>
      </w:r>
      <w:proofErr w:type="spellEnd"/>
      <w:r w:rsidRPr="007A6DDD">
        <w:rPr>
          <w:rFonts w:ascii="Arial" w:eastAsia="Calibri" w:hAnsi="Arial" w:cs="Arial"/>
          <w:bCs/>
          <w:sz w:val="24"/>
          <w:szCs w:val="24"/>
        </w:rPr>
        <w:t xml:space="preserve">. Se compararon las curvas ROC derivadas de la aplicación de ambas escalas a las muestras B y C mediante el estadístico Z según la fórmula de </w:t>
      </w:r>
      <w:proofErr w:type="spellStart"/>
      <w:r w:rsidRPr="007A6DDD">
        <w:rPr>
          <w:rFonts w:ascii="Arial" w:eastAsia="Calibri" w:hAnsi="Arial" w:cs="Arial"/>
          <w:bCs/>
          <w:i/>
          <w:sz w:val="24"/>
          <w:szCs w:val="24"/>
        </w:rPr>
        <w:t>Hanley</w:t>
      </w:r>
      <w:proofErr w:type="spellEnd"/>
      <w:r w:rsidRPr="007A6DDD">
        <w:rPr>
          <w:rFonts w:ascii="Arial" w:eastAsia="Calibri" w:hAnsi="Arial" w:cs="Arial"/>
          <w:bCs/>
          <w:i/>
          <w:sz w:val="24"/>
          <w:szCs w:val="24"/>
        </w:rPr>
        <w:t xml:space="preserve"> y McNeil</w:t>
      </w:r>
      <w:r w:rsidRPr="007A6DDD">
        <w:rPr>
          <w:rFonts w:ascii="Arial" w:eastAsia="Calibri" w:hAnsi="Arial" w:cs="Arial"/>
          <w:bCs/>
          <w:sz w:val="24"/>
          <w:szCs w:val="24"/>
        </w:rPr>
        <w:t xml:space="preserve">  </w:t>
      </w:r>
      <m:oMath>
        <m:d>
          <m:dPr>
            <m:ctrlPr>
              <w:rPr>
                <w:rFonts w:ascii="Cambria Math" w:eastAsia="Calibri" w:hAnsi="Cambria Math" w:cs="Arial"/>
                <w:bCs/>
                <w:i/>
                <w:sz w:val="24"/>
                <w:szCs w:val="24"/>
              </w:rPr>
            </m:ctrlPr>
          </m:dPr>
          <m:e>
            <m:r>
              <w:rPr>
                <w:rFonts w:ascii="Cambria Math" w:eastAsia="Calibri" w:hAnsi="Cambria Math" w:cs="Arial"/>
                <w:sz w:val="24"/>
                <w:szCs w:val="24"/>
              </w:rPr>
              <m:t>Z=</m:t>
            </m:r>
            <m:f>
              <m:fPr>
                <m:ctrlPr>
                  <w:rPr>
                    <w:rFonts w:ascii="Cambria Math" w:eastAsia="Calibri" w:hAnsi="Cambria Math" w:cs="Arial"/>
                    <w:bCs/>
                    <w:i/>
                    <w:sz w:val="24"/>
                    <w:szCs w:val="24"/>
                  </w:rPr>
                </m:ctrlPr>
              </m:fPr>
              <m:num>
                <m:sSub>
                  <m:sSubPr>
                    <m:ctrlPr>
                      <w:rPr>
                        <w:rFonts w:ascii="Cambria Math" w:eastAsia="Calibri" w:hAnsi="Cambria Math" w:cs="Arial"/>
                        <w:bCs/>
                        <w:i/>
                        <w:sz w:val="24"/>
                        <w:szCs w:val="24"/>
                      </w:rPr>
                    </m:ctrlPr>
                  </m:sSubPr>
                  <m:e>
                    <m:r>
                      <w:rPr>
                        <w:rFonts w:ascii="Cambria Math" w:eastAsia="Calibri" w:hAnsi="Cambria Math" w:cs="Arial"/>
                        <w:sz w:val="24"/>
                        <w:szCs w:val="24"/>
                      </w:rPr>
                      <m:t>A</m:t>
                    </m:r>
                  </m:e>
                  <m:sub>
                    <m:r>
                      <w:rPr>
                        <w:rFonts w:ascii="Cambria Math" w:eastAsia="Calibri" w:hAnsi="Cambria Math" w:cs="Arial"/>
                        <w:sz w:val="24"/>
                        <w:szCs w:val="24"/>
                      </w:rPr>
                      <m:t>1</m:t>
                    </m:r>
                  </m:sub>
                </m:sSub>
                <m:r>
                  <w:rPr>
                    <w:rFonts w:ascii="Cambria Math" w:eastAsia="Calibri" w:hAnsi="Cambria Math" w:cs="Arial"/>
                    <w:sz w:val="24"/>
                    <w:szCs w:val="24"/>
                  </w:rPr>
                  <m:t>-</m:t>
                </m:r>
                <m:sSub>
                  <m:sSubPr>
                    <m:ctrlPr>
                      <w:rPr>
                        <w:rFonts w:ascii="Cambria Math" w:eastAsia="Calibri" w:hAnsi="Cambria Math" w:cs="Arial"/>
                        <w:bCs/>
                        <w:i/>
                        <w:sz w:val="24"/>
                        <w:szCs w:val="24"/>
                      </w:rPr>
                    </m:ctrlPr>
                  </m:sSubPr>
                  <m:e>
                    <m:r>
                      <w:rPr>
                        <w:rFonts w:ascii="Cambria Math" w:eastAsia="Calibri" w:hAnsi="Cambria Math" w:cs="Arial"/>
                        <w:sz w:val="24"/>
                        <w:szCs w:val="24"/>
                      </w:rPr>
                      <m:t>A</m:t>
                    </m:r>
                  </m:e>
                  <m:sub>
                    <m:r>
                      <w:rPr>
                        <w:rFonts w:ascii="Cambria Math" w:eastAsia="Calibri" w:hAnsi="Cambria Math" w:cs="Arial"/>
                        <w:sz w:val="24"/>
                        <w:szCs w:val="24"/>
                      </w:rPr>
                      <m:t>2</m:t>
                    </m:r>
                  </m:sub>
                </m:sSub>
              </m:num>
              <m:den>
                <m:rad>
                  <m:radPr>
                    <m:degHide m:val="1"/>
                    <m:ctrlPr>
                      <w:rPr>
                        <w:rFonts w:ascii="Cambria Math" w:eastAsia="Calibri" w:hAnsi="Cambria Math" w:cs="Arial"/>
                        <w:bCs/>
                        <w:i/>
                        <w:sz w:val="24"/>
                        <w:szCs w:val="24"/>
                      </w:rPr>
                    </m:ctrlPr>
                  </m:radPr>
                  <m:deg/>
                  <m:e>
                    <m:sSup>
                      <m:sSupPr>
                        <m:ctrlPr>
                          <w:rPr>
                            <w:rFonts w:ascii="Cambria Math" w:eastAsia="Calibri" w:hAnsi="Cambria Math" w:cs="Arial"/>
                            <w:bCs/>
                            <w:i/>
                            <w:sz w:val="24"/>
                            <w:szCs w:val="24"/>
                          </w:rPr>
                        </m:ctrlPr>
                      </m:sSupPr>
                      <m:e>
                        <m:r>
                          <w:rPr>
                            <w:rFonts w:ascii="Cambria Math" w:eastAsia="Calibri" w:hAnsi="Cambria Math" w:cs="Arial"/>
                            <w:sz w:val="24"/>
                            <w:szCs w:val="24"/>
                          </w:rPr>
                          <m:t>EE</m:t>
                        </m:r>
                      </m:e>
                      <m:sup>
                        <m:r>
                          <w:rPr>
                            <w:rFonts w:ascii="Cambria Math" w:eastAsia="Calibri" w:hAnsi="Cambria Math" w:cs="Arial"/>
                            <w:sz w:val="24"/>
                            <w:szCs w:val="24"/>
                          </w:rPr>
                          <m:t>2</m:t>
                        </m:r>
                      </m:sup>
                    </m:sSup>
                    <m:d>
                      <m:dPr>
                        <m:ctrlPr>
                          <w:rPr>
                            <w:rFonts w:ascii="Cambria Math" w:eastAsia="Calibri" w:hAnsi="Cambria Math" w:cs="Arial"/>
                            <w:bCs/>
                            <w:i/>
                            <w:sz w:val="24"/>
                            <w:szCs w:val="24"/>
                          </w:rPr>
                        </m:ctrlPr>
                      </m:dPr>
                      <m:e>
                        <m:sSub>
                          <m:sSubPr>
                            <m:ctrlPr>
                              <w:rPr>
                                <w:rFonts w:ascii="Cambria Math" w:eastAsia="Calibri" w:hAnsi="Cambria Math" w:cs="Arial"/>
                                <w:bCs/>
                                <w:i/>
                                <w:sz w:val="24"/>
                                <w:szCs w:val="24"/>
                              </w:rPr>
                            </m:ctrlPr>
                          </m:sSubPr>
                          <m:e>
                            <m:r>
                              <w:rPr>
                                <w:rFonts w:ascii="Cambria Math" w:eastAsia="Calibri" w:hAnsi="Cambria Math" w:cs="Arial"/>
                                <w:sz w:val="24"/>
                                <w:szCs w:val="24"/>
                              </w:rPr>
                              <m:t>A</m:t>
                            </m:r>
                          </m:e>
                          <m:sub>
                            <m:r>
                              <w:rPr>
                                <w:rFonts w:ascii="Cambria Math" w:eastAsia="Calibri" w:hAnsi="Cambria Math" w:cs="Arial"/>
                                <w:sz w:val="24"/>
                                <w:szCs w:val="24"/>
                              </w:rPr>
                              <m:t>1</m:t>
                            </m:r>
                          </m:sub>
                        </m:sSub>
                      </m:e>
                    </m:d>
                    <m:r>
                      <w:rPr>
                        <w:rFonts w:ascii="Cambria Math" w:eastAsia="Calibri" w:hAnsi="Cambria Math" w:cs="Arial"/>
                        <w:sz w:val="24"/>
                        <w:szCs w:val="24"/>
                      </w:rPr>
                      <m:t>+</m:t>
                    </m:r>
                    <m:sSup>
                      <m:sSupPr>
                        <m:ctrlPr>
                          <w:rPr>
                            <w:rFonts w:ascii="Cambria Math" w:eastAsia="Calibri" w:hAnsi="Cambria Math" w:cs="Arial"/>
                            <w:bCs/>
                            <w:i/>
                            <w:sz w:val="24"/>
                            <w:szCs w:val="24"/>
                          </w:rPr>
                        </m:ctrlPr>
                      </m:sSupPr>
                      <m:e>
                        <m:r>
                          <w:rPr>
                            <w:rFonts w:ascii="Cambria Math" w:eastAsia="Calibri" w:hAnsi="Cambria Math" w:cs="Arial"/>
                            <w:sz w:val="24"/>
                            <w:szCs w:val="24"/>
                          </w:rPr>
                          <m:t>EE</m:t>
                        </m:r>
                      </m:e>
                      <m:sup>
                        <m:r>
                          <w:rPr>
                            <w:rFonts w:ascii="Cambria Math" w:eastAsia="Calibri" w:hAnsi="Cambria Math" w:cs="Arial"/>
                            <w:sz w:val="24"/>
                            <w:szCs w:val="24"/>
                          </w:rPr>
                          <m:t>2</m:t>
                        </m:r>
                      </m:sup>
                    </m:sSup>
                    <m:d>
                      <m:dPr>
                        <m:ctrlPr>
                          <w:rPr>
                            <w:rFonts w:ascii="Cambria Math" w:eastAsia="Calibri" w:hAnsi="Cambria Math" w:cs="Arial"/>
                            <w:bCs/>
                            <w:i/>
                            <w:sz w:val="24"/>
                            <w:szCs w:val="24"/>
                          </w:rPr>
                        </m:ctrlPr>
                      </m:dPr>
                      <m:e>
                        <m:sSub>
                          <m:sSubPr>
                            <m:ctrlPr>
                              <w:rPr>
                                <w:rFonts w:ascii="Cambria Math" w:eastAsia="Calibri" w:hAnsi="Cambria Math" w:cs="Arial"/>
                                <w:bCs/>
                                <w:i/>
                                <w:sz w:val="24"/>
                                <w:szCs w:val="24"/>
                              </w:rPr>
                            </m:ctrlPr>
                          </m:sSubPr>
                          <m:e>
                            <m:r>
                              <w:rPr>
                                <w:rFonts w:ascii="Cambria Math" w:eastAsia="Calibri" w:hAnsi="Cambria Math" w:cs="Arial"/>
                                <w:sz w:val="24"/>
                                <w:szCs w:val="24"/>
                              </w:rPr>
                              <m:t>A</m:t>
                            </m:r>
                          </m:e>
                          <m:sub>
                            <m:r>
                              <w:rPr>
                                <w:rFonts w:ascii="Cambria Math" w:eastAsia="Calibri" w:hAnsi="Cambria Math" w:cs="Arial"/>
                                <w:sz w:val="24"/>
                                <w:szCs w:val="24"/>
                              </w:rPr>
                              <m:t>2</m:t>
                            </m:r>
                          </m:sub>
                        </m:sSub>
                      </m:e>
                    </m:d>
                  </m:e>
                </m:rad>
              </m:den>
            </m:f>
          </m:e>
        </m:d>
        <m:r>
          <w:rPr>
            <w:rFonts w:ascii="Cambria Math" w:eastAsia="Calibri" w:hAnsi="Cambria Math" w:cs="Arial"/>
            <w:sz w:val="24"/>
            <w:szCs w:val="24"/>
          </w:rPr>
          <m:t xml:space="preserve"> </m:t>
        </m:r>
      </m:oMath>
      <w:r w:rsidRPr="007A6DDD">
        <w:rPr>
          <w:rFonts w:ascii="Arial" w:eastAsia="Calibri" w:hAnsi="Arial" w:cs="Arial"/>
          <w:bCs/>
          <w:sz w:val="24"/>
          <w:szCs w:val="24"/>
        </w:rPr>
        <w:t xml:space="preserve">donde </w:t>
      </w:r>
      <m:oMath>
        <m:sSub>
          <m:sSubPr>
            <m:ctrlPr>
              <w:rPr>
                <w:rFonts w:ascii="Cambria Math" w:eastAsia="Calibri" w:hAnsi="Cambria Math" w:cs="Arial"/>
                <w:bCs/>
                <w:i/>
                <w:sz w:val="24"/>
                <w:szCs w:val="24"/>
              </w:rPr>
            </m:ctrlPr>
          </m:sSubPr>
          <m:e>
            <m:r>
              <w:rPr>
                <w:rFonts w:ascii="Cambria Math" w:eastAsia="Calibri" w:hAnsi="Cambria Math" w:cs="Arial"/>
                <w:sz w:val="24"/>
                <w:szCs w:val="24"/>
              </w:rPr>
              <m:t>A</m:t>
            </m:r>
          </m:e>
          <m:sub>
            <m:r>
              <w:rPr>
                <w:rFonts w:ascii="Cambria Math" w:eastAsia="Calibri" w:hAnsi="Cambria Math" w:cs="Arial"/>
                <w:sz w:val="24"/>
                <w:szCs w:val="24"/>
              </w:rPr>
              <m:t>1</m:t>
            </m:r>
          </m:sub>
        </m:sSub>
        <m:r>
          <w:rPr>
            <w:rFonts w:ascii="Cambria Math" w:eastAsia="Calibri" w:hAnsi="Cambria Math" w:cs="Arial"/>
            <w:sz w:val="24"/>
            <w:szCs w:val="24"/>
          </w:rPr>
          <m:t xml:space="preserve"> </m:t>
        </m:r>
      </m:oMath>
      <w:r w:rsidRPr="007A6DDD">
        <w:rPr>
          <w:rFonts w:ascii="Arial" w:eastAsia="Calibri" w:hAnsi="Arial" w:cs="Arial"/>
          <w:bCs/>
          <w:sz w:val="24"/>
          <w:szCs w:val="24"/>
        </w:rPr>
        <w:t xml:space="preserve">y </w:t>
      </w:r>
      <m:oMath>
        <m:sSub>
          <m:sSubPr>
            <m:ctrlPr>
              <w:rPr>
                <w:rFonts w:ascii="Cambria Math" w:eastAsia="Calibri" w:hAnsi="Cambria Math" w:cs="Arial"/>
                <w:bCs/>
                <w:i/>
                <w:sz w:val="24"/>
                <w:szCs w:val="24"/>
              </w:rPr>
            </m:ctrlPr>
          </m:sSubPr>
          <m:e>
            <m:r>
              <w:rPr>
                <w:rFonts w:ascii="Cambria Math" w:eastAsia="Calibri" w:hAnsi="Cambria Math" w:cs="Arial"/>
                <w:sz w:val="24"/>
                <w:szCs w:val="24"/>
              </w:rPr>
              <m:t>A</m:t>
            </m:r>
          </m:e>
          <m:sub>
            <m:r>
              <w:rPr>
                <w:rFonts w:ascii="Cambria Math" w:eastAsia="Calibri" w:hAnsi="Cambria Math" w:cs="Arial"/>
                <w:sz w:val="24"/>
                <w:szCs w:val="24"/>
              </w:rPr>
              <m:t>2</m:t>
            </m:r>
          </m:sub>
        </m:sSub>
      </m:oMath>
      <w:r w:rsidRPr="007A6DDD">
        <w:rPr>
          <w:rFonts w:ascii="Arial" w:eastAsia="Calibri" w:hAnsi="Arial" w:cs="Arial"/>
          <w:bCs/>
          <w:sz w:val="24"/>
          <w:szCs w:val="24"/>
        </w:rPr>
        <w:t xml:space="preserve"> son las ABC ROC de las escalas, </w:t>
      </w:r>
      <m:oMath>
        <m:sSub>
          <m:sSubPr>
            <m:ctrlPr>
              <w:rPr>
                <w:rFonts w:ascii="Cambria Math" w:eastAsia="Calibri" w:hAnsi="Cambria Math" w:cs="Arial"/>
                <w:bCs/>
                <w:i/>
                <w:sz w:val="24"/>
                <w:szCs w:val="24"/>
              </w:rPr>
            </m:ctrlPr>
          </m:sSubPr>
          <m:e>
            <m:r>
              <w:rPr>
                <w:rFonts w:ascii="Cambria Math" w:eastAsia="Calibri" w:hAnsi="Cambria Math" w:cs="Arial"/>
                <w:sz w:val="24"/>
                <w:szCs w:val="24"/>
              </w:rPr>
              <m:t>EE(A</m:t>
            </m:r>
          </m:e>
          <m:sub>
            <m:r>
              <w:rPr>
                <w:rFonts w:ascii="Cambria Math" w:eastAsia="Calibri" w:hAnsi="Cambria Math" w:cs="Arial"/>
                <w:sz w:val="24"/>
                <w:szCs w:val="24"/>
              </w:rPr>
              <m:t>1</m:t>
            </m:r>
          </m:sub>
        </m:sSub>
        <m:r>
          <w:rPr>
            <w:rFonts w:ascii="Cambria Math" w:eastAsia="Calibri" w:hAnsi="Cambria Math" w:cs="Arial"/>
            <w:sz w:val="24"/>
            <w:szCs w:val="24"/>
          </w:rPr>
          <m:t xml:space="preserve">) </m:t>
        </m:r>
      </m:oMath>
      <w:r w:rsidRPr="007A6DDD">
        <w:rPr>
          <w:rFonts w:ascii="Arial" w:eastAsia="Calibri" w:hAnsi="Arial" w:cs="Arial"/>
          <w:bCs/>
          <w:sz w:val="24"/>
          <w:szCs w:val="24"/>
        </w:rPr>
        <w:t>y EE(</w:t>
      </w:r>
      <m:oMath>
        <m:sSub>
          <m:sSubPr>
            <m:ctrlPr>
              <w:rPr>
                <w:rFonts w:ascii="Cambria Math" w:eastAsia="Calibri" w:hAnsi="Cambria Math" w:cs="Arial"/>
                <w:bCs/>
                <w:i/>
                <w:sz w:val="24"/>
                <w:szCs w:val="24"/>
              </w:rPr>
            </m:ctrlPr>
          </m:sSubPr>
          <m:e>
            <m:r>
              <w:rPr>
                <w:rFonts w:ascii="Cambria Math" w:eastAsia="Calibri" w:hAnsi="Cambria Math" w:cs="Arial"/>
                <w:sz w:val="24"/>
                <w:szCs w:val="24"/>
              </w:rPr>
              <m:t>A</m:t>
            </m:r>
          </m:e>
          <m:sub>
            <m:r>
              <w:rPr>
                <w:rFonts w:ascii="Cambria Math" w:eastAsia="Calibri" w:hAnsi="Cambria Math" w:cs="Arial"/>
                <w:sz w:val="24"/>
                <w:szCs w:val="24"/>
              </w:rPr>
              <m:t>2</m:t>
            </m:r>
          </m:sub>
        </m:sSub>
        <m:r>
          <w:rPr>
            <w:rFonts w:ascii="Cambria Math" w:eastAsia="Calibri" w:hAnsi="Cambria Math" w:cs="Arial"/>
            <w:sz w:val="24"/>
            <w:szCs w:val="24"/>
          </w:rPr>
          <m:t>)</m:t>
        </m:r>
      </m:oMath>
      <w:r w:rsidRPr="007A6DDD">
        <w:rPr>
          <w:rFonts w:ascii="Arial" w:eastAsia="Calibri" w:hAnsi="Arial" w:cs="Arial"/>
          <w:bCs/>
          <w:sz w:val="24"/>
          <w:szCs w:val="24"/>
        </w:rPr>
        <w:t xml:space="preserve"> los errores estándar respectivos. Para un nivel de </w:t>
      </w:r>
      <w:r w:rsidRPr="007A6DDD">
        <w:rPr>
          <w:rFonts w:ascii="Arial" w:eastAsia="Calibri" w:hAnsi="Arial" w:cs="Arial"/>
          <w:bCs/>
          <w:sz w:val="24"/>
          <w:szCs w:val="24"/>
        </w:rPr>
        <w:lastRenderedPageBreak/>
        <w:t xml:space="preserve">significancia del 5 %, si el valor de Z es mayor que 1,96, se rechaza la hipótesis que postula que ambas escalas tienen rendimientos iguales. </w:t>
      </w:r>
    </w:p>
    <w:p w:rsidR="007A6DDD" w:rsidRPr="007A6DDD" w:rsidRDefault="007A6DDD" w:rsidP="007A6DDD">
      <w:pPr>
        <w:spacing w:line="360" w:lineRule="auto"/>
        <w:jc w:val="both"/>
        <w:rPr>
          <w:rFonts w:ascii="Arial" w:eastAsia="Calibri" w:hAnsi="Arial" w:cs="Arial"/>
          <w:bCs/>
          <w:sz w:val="24"/>
          <w:szCs w:val="24"/>
        </w:rPr>
      </w:pPr>
      <w:r w:rsidRPr="007A6DDD">
        <w:rPr>
          <w:rFonts w:ascii="Arial" w:eastAsia="Calibri" w:hAnsi="Arial" w:cs="Arial"/>
          <w:bCs/>
          <w:sz w:val="24"/>
          <w:szCs w:val="24"/>
        </w:rPr>
        <w:t xml:space="preserve">Para determinar la correlación entre ambas escalas se empleó el coeficiente </w:t>
      </w:r>
      <w:r w:rsidRPr="007A6DDD">
        <w:rPr>
          <w:rFonts w:ascii="Arial" w:eastAsia="Calibri" w:hAnsi="Arial" w:cs="Arial"/>
          <w:bCs/>
          <w:i/>
          <w:sz w:val="24"/>
          <w:szCs w:val="24"/>
        </w:rPr>
        <w:t xml:space="preserve">Rho de </w:t>
      </w:r>
      <w:proofErr w:type="spellStart"/>
      <w:r w:rsidRPr="007A6DDD">
        <w:rPr>
          <w:rFonts w:ascii="Arial" w:eastAsia="Calibri" w:hAnsi="Arial" w:cs="Arial"/>
          <w:bCs/>
          <w:i/>
          <w:sz w:val="24"/>
          <w:szCs w:val="24"/>
        </w:rPr>
        <w:t>Spearman</w:t>
      </w:r>
      <w:proofErr w:type="spellEnd"/>
      <w:r w:rsidRPr="007A6DDD">
        <w:rPr>
          <w:rFonts w:ascii="Arial" w:eastAsia="Calibri" w:hAnsi="Arial" w:cs="Arial"/>
          <w:bCs/>
          <w:sz w:val="24"/>
          <w:szCs w:val="24"/>
        </w:rPr>
        <w:t xml:space="preserve"> para la asociación de variables ordinales. La interpretación del mismo es igual que la el coeficiente </w:t>
      </w:r>
      <w:proofErr w:type="spellStart"/>
      <w:r w:rsidRPr="007A6DDD">
        <w:rPr>
          <w:rFonts w:ascii="Arial" w:eastAsia="Calibri" w:hAnsi="Arial" w:cs="Arial"/>
          <w:bCs/>
          <w:i/>
          <w:sz w:val="24"/>
          <w:szCs w:val="24"/>
        </w:rPr>
        <w:t>Taub</w:t>
      </w:r>
      <w:proofErr w:type="spellEnd"/>
      <w:r w:rsidRPr="007A6DDD">
        <w:rPr>
          <w:rFonts w:ascii="Arial" w:eastAsia="Calibri" w:hAnsi="Arial" w:cs="Arial"/>
          <w:bCs/>
          <w:i/>
          <w:sz w:val="24"/>
          <w:szCs w:val="24"/>
        </w:rPr>
        <w:t xml:space="preserve"> de Kendall</w:t>
      </w:r>
      <w:r w:rsidRPr="007A6DDD">
        <w:rPr>
          <w:rFonts w:ascii="Arial" w:eastAsia="Calibri" w:hAnsi="Arial" w:cs="Arial"/>
          <w:bCs/>
          <w:sz w:val="24"/>
          <w:szCs w:val="24"/>
        </w:rPr>
        <w:t xml:space="preserve">, oscila entre -1 y +1, indicándonos asociaciones negativas o positivas respectivamente, un valor nulo de </w:t>
      </w:r>
      <w:proofErr w:type="gramStart"/>
      <w:r w:rsidRPr="007A6DDD">
        <w:rPr>
          <w:rFonts w:ascii="Arial" w:eastAsia="Calibri" w:hAnsi="Arial" w:cs="Arial"/>
          <w:bCs/>
          <w:sz w:val="24"/>
          <w:szCs w:val="24"/>
        </w:rPr>
        <w:t>este</w:t>
      </w:r>
      <w:proofErr w:type="gramEnd"/>
      <w:r w:rsidRPr="007A6DDD">
        <w:rPr>
          <w:rFonts w:ascii="Arial" w:eastAsia="Calibri" w:hAnsi="Arial" w:cs="Arial"/>
          <w:bCs/>
          <w:sz w:val="24"/>
          <w:szCs w:val="24"/>
        </w:rPr>
        <w:t xml:space="preserve"> coeficiente significa no correlación pero no independencia.</w:t>
      </w:r>
      <w:r w:rsidRPr="007A6DDD">
        <w:rPr>
          <w:rFonts w:ascii="Arial" w:eastAsia="Calibri" w:hAnsi="Arial" w:cs="Arial"/>
          <w:bCs/>
          <w:sz w:val="24"/>
          <w:szCs w:val="24"/>
          <w:vertAlign w:val="superscript"/>
        </w:rPr>
        <w:t xml:space="preserve"> </w:t>
      </w:r>
    </w:p>
    <w:p w:rsidR="007A6DDD" w:rsidRPr="007A6DDD" w:rsidRDefault="007A6DDD" w:rsidP="007A6DDD">
      <w:pPr>
        <w:spacing w:line="360" w:lineRule="auto"/>
        <w:jc w:val="both"/>
        <w:rPr>
          <w:rFonts w:ascii="Arial" w:eastAsia="Calibri" w:hAnsi="Arial" w:cs="Arial"/>
          <w:bCs/>
          <w:sz w:val="24"/>
          <w:szCs w:val="24"/>
        </w:rPr>
      </w:pPr>
      <w:r w:rsidRPr="007A6DDD">
        <w:rPr>
          <w:rFonts w:ascii="Arial" w:eastAsia="Calibri" w:hAnsi="Arial" w:cs="Arial"/>
          <w:bCs/>
          <w:sz w:val="24"/>
          <w:szCs w:val="24"/>
        </w:rPr>
        <w:t xml:space="preserve">Pruebas de confiabilidad o reproducibilidad: se hace referencia a si la escala funciona de manera similar bajo diferentes condiciones, dependientes del mismo instrumento, del tiempo de aplicación y del personal clínico que hace la medición. Se evaluaron: </w:t>
      </w:r>
    </w:p>
    <w:p w:rsidR="007A6DDD" w:rsidRPr="007A6DDD" w:rsidRDefault="007A6DDD" w:rsidP="007A6DDD">
      <w:pPr>
        <w:spacing w:line="360" w:lineRule="auto"/>
        <w:jc w:val="both"/>
        <w:rPr>
          <w:rFonts w:ascii="Arial" w:eastAsia="Calibri" w:hAnsi="Arial" w:cs="Arial"/>
          <w:bCs/>
          <w:sz w:val="24"/>
          <w:szCs w:val="24"/>
        </w:rPr>
      </w:pPr>
      <w:r w:rsidRPr="007A6DDD">
        <w:rPr>
          <w:rFonts w:ascii="Arial" w:eastAsia="Calibri" w:hAnsi="Arial" w:cs="Arial"/>
          <w:bCs/>
          <w:sz w:val="24"/>
          <w:szCs w:val="24"/>
        </w:rPr>
        <w:t xml:space="preserve">a) Fiabilidad: se determinó el coeficiente alfa de </w:t>
      </w:r>
      <w:proofErr w:type="spellStart"/>
      <w:r w:rsidRPr="007A6DDD">
        <w:rPr>
          <w:rFonts w:ascii="Arial" w:eastAsia="Calibri" w:hAnsi="Arial" w:cs="Arial"/>
          <w:bCs/>
          <w:i/>
          <w:sz w:val="24"/>
          <w:szCs w:val="24"/>
        </w:rPr>
        <w:t>Cronbach</w:t>
      </w:r>
      <w:proofErr w:type="spellEnd"/>
      <w:r w:rsidRPr="007A6DDD">
        <w:rPr>
          <w:rFonts w:ascii="Arial" w:eastAsia="Calibri" w:hAnsi="Arial" w:cs="Arial"/>
          <w:bCs/>
          <w:i/>
          <w:sz w:val="24"/>
          <w:szCs w:val="24"/>
        </w:rPr>
        <w:t xml:space="preserve"> </w:t>
      </w:r>
      <w:r w:rsidRPr="007A6DDD">
        <w:rPr>
          <w:rFonts w:ascii="Arial" w:eastAsia="Calibri" w:hAnsi="Arial" w:cs="Arial"/>
          <w:bCs/>
          <w:sz w:val="24"/>
          <w:szCs w:val="24"/>
        </w:rPr>
        <w:t xml:space="preserve">total y se calculó el mismo para cada uno de los predictores de la escala respecto al puntaje (correlación ítem-dominio). Valores por debajo de 0,7 indican que la fiabilidad es baja. El valor máximo aceptado es 0,9. Valores por encima de 0,9 indica que hay variables duplicadas o con redundancia. </w:t>
      </w:r>
    </w:p>
    <w:p w:rsidR="007A6DDD" w:rsidRPr="007A6DDD" w:rsidRDefault="007A6DDD" w:rsidP="007A6DDD">
      <w:pPr>
        <w:spacing w:line="360" w:lineRule="auto"/>
        <w:jc w:val="both"/>
        <w:rPr>
          <w:rFonts w:ascii="Arial" w:eastAsia="Calibri" w:hAnsi="Arial" w:cs="Arial"/>
          <w:bCs/>
          <w:sz w:val="24"/>
          <w:szCs w:val="24"/>
        </w:rPr>
      </w:pPr>
      <w:r w:rsidRPr="007A6DDD">
        <w:rPr>
          <w:rFonts w:ascii="Arial" w:eastAsia="Calibri" w:hAnsi="Arial" w:cs="Arial"/>
          <w:bCs/>
          <w:sz w:val="24"/>
          <w:szCs w:val="24"/>
        </w:rPr>
        <w:t xml:space="preserve">b) Consistencia interna: mide el grado de correlación y coherencia entre los predictores de la escala, es decir si hay homogeneidad entre ellos. Se utilizó el método de división por mitades de </w:t>
      </w:r>
      <w:proofErr w:type="spellStart"/>
      <w:r w:rsidRPr="007A6DDD">
        <w:rPr>
          <w:rFonts w:ascii="Arial" w:eastAsia="Calibri" w:hAnsi="Arial" w:cs="Arial"/>
          <w:bCs/>
          <w:i/>
          <w:sz w:val="24"/>
          <w:szCs w:val="24"/>
        </w:rPr>
        <w:t>Spearman</w:t>
      </w:r>
      <w:proofErr w:type="spellEnd"/>
      <w:r w:rsidRPr="007A6DDD">
        <w:rPr>
          <w:rFonts w:ascii="Arial" w:eastAsia="Calibri" w:hAnsi="Arial" w:cs="Arial"/>
          <w:bCs/>
          <w:sz w:val="24"/>
          <w:szCs w:val="24"/>
        </w:rPr>
        <w:t xml:space="preserve">. Valores &gt; 0,4 indican que existe adecuada correlación entre los predictores. </w:t>
      </w:r>
    </w:p>
    <w:p w:rsidR="007A6DDD" w:rsidRPr="007A6DDD" w:rsidRDefault="007A6DDD" w:rsidP="007A6DDD">
      <w:pPr>
        <w:spacing w:line="360" w:lineRule="auto"/>
        <w:jc w:val="both"/>
        <w:rPr>
          <w:rFonts w:ascii="Arial" w:eastAsia="Calibri" w:hAnsi="Arial" w:cs="Arial"/>
          <w:bCs/>
          <w:sz w:val="24"/>
          <w:szCs w:val="24"/>
        </w:rPr>
      </w:pPr>
      <w:r w:rsidRPr="007A6DDD">
        <w:rPr>
          <w:rFonts w:ascii="Arial" w:eastAsia="Calibri" w:hAnsi="Arial" w:cs="Arial"/>
          <w:bCs/>
          <w:sz w:val="24"/>
          <w:szCs w:val="24"/>
        </w:rPr>
        <w:t xml:space="preserve">c) Concordancia inter-observador: para constatar la misma, dos especialistas de segundo grado en medicina general integral, de forma independiente, aplicaron la escala a 50 historias clínicas escogidas al azar y se obtuvo el coeficiente de correlación </w:t>
      </w:r>
      <w:proofErr w:type="spellStart"/>
      <w:r w:rsidRPr="007A6DDD">
        <w:rPr>
          <w:rFonts w:ascii="Arial" w:eastAsia="Calibri" w:hAnsi="Arial" w:cs="Arial"/>
          <w:bCs/>
          <w:sz w:val="24"/>
          <w:szCs w:val="24"/>
        </w:rPr>
        <w:t>intraclase</w:t>
      </w:r>
      <w:proofErr w:type="spellEnd"/>
      <w:r w:rsidRPr="007A6DDD">
        <w:rPr>
          <w:rFonts w:ascii="Arial" w:eastAsia="Calibri" w:hAnsi="Arial" w:cs="Arial"/>
          <w:bCs/>
          <w:sz w:val="24"/>
          <w:szCs w:val="24"/>
        </w:rPr>
        <w:t xml:space="preserve">, un valor menor que 0,5 indica poca fiabilidad, entre 0,5 y 0,75 fiabilidad moderada, entre 0,76 y 0,9 buena fiabilidad y mayor de 0,9 indica fiabilidad excelente. </w:t>
      </w:r>
    </w:p>
    <w:p w:rsidR="00825E26" w:rsidRPr="00825E26" w:rsidRDefault="00825E26" w:rsidP="007A6DDD">
      <w:pPr>
        <w:spacing w:line="360" w:lineRule="auto"/>
        <w:jc w:val="both"/>
        <w:rPr>
          <w:rFonts w:ascii="Arial" w:hAnsi="Arial" w:cs="Arial"/>
          <w:sz w:val="24"/>
          <w:szCs w:val="24"/>
        </w:rPr>
      </w:pPr>
    </w:p>
    <w:sectPr w:rsidR="00825E26" w:rsidRPr="00825E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01815"/>
    <w:multiLevelType w:val="hybridMultilevel"/>
    <w:tmpl w:val="96EC6F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F3E505A"/>
    <w:multiLevelType w:val="hybridMultilevel"/>
    <w:tmpl w:val="BD7E45F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D205980"/>
    <w:multiLevelType w:val="hybridMultilevel"/>
    <w:tmpl w:val="60C4B77E"/>
    <w:lvl w:ilvl="0" w:tplc="B2CE24C8">
      <w:start w:val="1"/>
      <w:numFmt w:val="decimal"/>
      <w:lvlText w:val="%1."/>
      <w:lvlJc w:val="left"/>
      <w:pPr>
        <w:ind w:left="840" w:hanging="4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DF958FD"/>
    <w:multiLevelType w:val="hybridMultilevel"/>
    <w:tmpl w:val="E898B2C2"/>
    <w:lvl w:ilvl="0" w:tplc="E1C49F9E">
      <w:start w:val="70"/>
      <w:numFmt w:val="bullet"/>
      <w:lvlText w:val="-"/>
      <w:lvlJc w:val="left"/>
      <w:pPr>
        <w:ind w:left="218" w:hanging="360"/>
      </w:pPr>
      <w:rPr>
        <w:rFonts w:ascii="Arial" w:eastAsia="Calibri" w:hAnsi="Arial" w:cs="Arial"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4">
    <w:nsid w:val="31B35D8A"/>
    <w:multiLevelType w:val="hybridMultilevel"/>
    <w:tmpl w:val="E070A574"/>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5">
    <w:nsid w:val="3ABD333D"/>
    <w:multiLevelType w:val="hybridMultilevel"/>
    <w:tmpl w:val="D8CCB662"/>
    <w:lvl w:ilvl="0" w:tplc="86A02A4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B5C6B47"/>
    <w:multiLevelType w:val="hybridMultilevel"/>
    <w:tmpl w:val="83B40BB8"/>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7">
    <w:nsid w:val="4AC80DC6"/>
    <w:multiLevelType w:val="hybridMultilevel"/>
    <w:tmpl w:val="44B2C39A"/>
    <w:lvl w:ilvl="0" w:tplc="080A0001">
      <w:start w:val="1"/>
      <w:numFmt w:val="bullet"/>
      <w:lvlText w:val=""/>
      <w:lvlJc w:val="left"/>
      <w:pPr>
        <w:ind w:left="1560" w:hanging="360"/>
      </w:pPr>
      <w:rPr>
        <w:rFonts w:ascii="Symbol" w:hAnsi="Symbol" w:hint="default"/>
      </w:rPr>
    </w:lvl>
    <w:lvl w:ilvl="1" w:tplc="080A0003" w:tentative="1">
      <w:start w:val="1"/>
      <w:numFmt w:val="bullet"/>
      <w:lvlText w:val="o"/>
      <w:lvlJc w:val="left"/>
      <w:pPr>
        <w:ind w:left="2280" w:hanging="360"/>
      </w:pPr>
      <w:rPr>
        <w:rFonts w:ascii="Courier New" w:hAnsi="Courier New" w:cs="Courier New" w:hint="default"/>
      </w:rPr>
    </w:lvl>
    <w:lvl w:ilvl="2" w:tplc="080A0005" w:tentative="1">
      <w:start w:val="1"/>
      <w:numFmt w:val="bullet"/>
      <w:lvlText w:val=""/>
      <w:lvlJc w:val="left"/>
      <w:pPr>
        <w:ind w:left="3000" w:hanging="360"/>
      </w:pPr>
      <w:rPr>
        <w:rFonts w:ascii="Wingdings" w:hAnsi="Wingdings" w:hint="default"/>
      </w:rPr>
    </w:lvl>
    <w:lvl w:ilvl="3" w:tplc="080A0001" w:tentative="1">
      <w:start w:val="1"/>
      <w:numFmt w:val="bullet"/>
      <w:lvlText w:val=""/>
      <w:lvlJc w:val="left"/>
      <w:pPr>
        <w:ind w:left="3720" w:hanging="360"/>
      </w:pPr>
      <w:rPr>
        <w:rFonts w:ascii="Symbol" w:hAnsi="Symbol" w:hint="default"/>
      </w:rPr>
    </w:lvl>
    <w:lvl w:ilvl="4" w:tplc="080A0003" w:tentative="1">
      <w:start w:val="1"/>
      <w:numFmt w:val="bullet"/>
      <w:lvlText w:val="o"/>
      <w:lvlJc w:val="left"/>
      <w:pPr>
        <w:ind w:left="4440" w:hanging="360"/>
      </w:pPr>
      <w:rPr>
        <w:rFonts w:ascii="Courier New" w:hAnsi="Courier New" w:cs="Courier New" w:hint="default"/>
      </w:rPr>
    </w:lvl>
    <w:lvl w:ilvl="5" w:tplc="080A0005" w:tentative="1">
      <w:start w:val="1"/>
      <w:numFmt w:val="bullet"/>
      <w:lvlText w:val=""/>
      <w:lvlJc w:val="left"/>
      <w:pPr>
        <w:ind w:left="5160" w:hanging="360"/>
      </w:pPr>
      <w:rPr>
        <w:rFonts w:ascii="Wingdings" w:hAnsi="Wingdings" w:hint="default"/>
      </w:rPr>
    </w:lvl>
    <w:lvl w:ilvl="6" w:tplc="080A0001" w:tentative="1">
      <w:start w:val="1"/>
      <w:numFmt w:val="bullet"/>
      <w:lvlText w:val=""/>
      <w:lvlJc w:val="left"/>
      <w:pPr>
        <w:ind w:left="5880" w:hanging="360"/>
      </w:pPr>
      <w:rPr>
        <w:rFonts w:ascii="Symbol" w:hAnsi="Symbol" w:hint="default"/>
      </w:rPr>
    </w:lvl>
    <w:lvl w:ilvl="7" w:tplc="080A0003" w:tentative="1">
      <w:start w:val="1"/>
      <w:numFmt w:val="bullet"/>
      <w:lvlText w:val="o"/>
      <w:lvlJc w:val="left"/>
      <w:pPr>
        <w:ind w:left="6600" w:hanging="360"/>
      </w:pPr>
      <w:rPr>
        <w:rFonts w:ascii="Courier New" w:hAnsi="Courier New" w:cs="Courier New" w:hint="default"/>
      </w:rPr>
    </w:lvl>
    <w:lvl w:ilvl="8" w:tplc="080A0005" w:tentative="1">
      <w:start w:val="1"/>
      <w:numFmt w:val="bullet"/>
      <w:lvlText w:val=""/>
      <w:lvlJc w:val="left"/>
      <w:pPr>
        <w:ind w:left="7320" w:hanging="360"/>
      </w:pPr>
      <w:rPr>
        <w:rFonts w:ascii="Wingdings" w:hAnsi="Wingdings" w:hint="default"/>
      </w:rPr>
    </w:lvl>
  </w:abstractNum>
  <w:abstractNum w:abstractNumId="8">
    <w:nsid w:val="6C705A1A"/>
    <w:multiLevelType w:val="hybridMultilevel"/>
    <w:tmpl w:val="BB5AEA9A"/>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9">
    <w:nsid w:val="77647C5C"/>
    <w:multiLevelType w:val="hybridMultilevel"/>
    <w:tmpl w:val="58064720"/>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num w:numId="1">
    <w:abstractNumId w:val="1"/>
  </w:num>
  <w:num w:numId="2">
    <w:abstractNumId w:val="0"/>
  </w:num>
  <w:num w:numId="3">
    <w:abstractNumId w:val="8"/>
  </w:num>
  <w:num w:numId="4">
    <w:abstractNumId w:val="3"/>
  </w:num>
  <w:num w:numId="5">
    <w:abstractNumId w:val="2"/>
  </w:num>
  <w:num w:numId="6">
    <w:abstractNumId w:val="7"/>
  </w:num>
  <w:num w:numId="7">
    <w:abstractNumId w:val="9"/>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E26"/>
    <w:rsid w:val="001D3A69"/>
    <w:rsid w:val="002A5865"/>
    <w:rsid w:val="00707488"/>
    <w:rsid w:val="007A6DDD"/>
    <w:rsid w:val="00825E26"/>
    <w:rsid w:val="0096249B"/>
    <w:rsid w:val="00B95BB6"/>
    <w:rsid w:val="00FE33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58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E338E"/>
    <w:rPr>
      <w:color w:val="0000FF" w:themeColor="hyperlink"/>
      <w:u w:val="single"/>
    </w:rPr>
  </w:style>
  <w:style w:type="paragraph" w:styleId="Textodeglobo">
    <w:name w:val="Balloon Text"/>
    <w:basedOn w:val="Normal"/>
    <w:link w:val="TextodegloboCar"/>
    <w:uiPriority w:val="99"/>
    <w:semiHidden/>
    <w:unhideWhenUsed/>
    <w:rsid w:val="00FE33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33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58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E338E"/>
    <w:rPr>
      <w:color w:val="0000FF" w:themeColor="hyperlink"/>
      <w:u w:val="single"/>
    </w:rPr>
  </w:style>
  <w:style w:type="paragraph" w:styleId="Textodeglobo">
    <w:name w:val="Balloon Text"/>
    <w:basedOn w:val="Normal"/>
    <w:link w:val="TextodegloboCar"/>
    <w:uiPriority w:val="99"/>
    <w:semiHidden/>
    <w:unhideWhenUsed/>
    <w:rsid w:val="00FE33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33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im.cat/ofertadeserveis/software-public/granm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1525</Words>
  <Characters>8389</Characters>
  <Application>Microsoft Office Word</Application>
  <DocSecurity>0</DocSecurity>
  <Lines>69</Lines>
  <Paragraphs>19</Paragraphs>
  <ScaleCrop>false</ScaleCrop>
  <Company/>
  <LinksUpToDate>false</LinksUpToDate>
  <CharactersWithSpaces>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NAIFI</dc:creator>
  <cp:lastModifiedBy>NAIFI</cp:lastModifiedBy>
  <cp:revision>6</cp:revision>
  <dcterms:created xsi:type="dcterms:W3CDTF">2021-11-01T00:04:00Z</dcterms:created>
  <dcterms:modified xsi:type="dcterms:W3CDTF">2023-07-02T17:36:00Z</dcterms:modified>
</cp:coreProperties>
</file>